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C59B4">
      <w:pPr>
        <w:spacing w:line="420" w:lineRule="exact"/>
        <w:ind w:firstLine="420" w:firstLineChars="200"/>
        <w:rPr>
          <w:rFonts w:hint="eastAsia" w:ascii="宋体" w:hAnsi="宋体"/>
          <w:b/>
          <w:bCs w:val="0"/>
          <w:color w:val="auto"/>
        </w:rPr>
      </w:pPr>
    </w:p>
    <w:p w14:paraId="56375E0D">
      <w:pPr>
        <w:spacing w:line="420" w:lineRule="exact"/>
        <w:ind w:firstLine="400" w:firstLineChars="200"/>
        <w:rPr>
          <w:rFonts w:hint="eastAsia" w:ascii="宋体" w:hAnsi="宋体"/>
          <w:b/>
          <w:bCs w:val="0"/>
          <w:color w:val="auto"/>
        </w:rPr>
      </w:pPr>
      <w:r>
        <w:rPr>
          <w:rFonts w:ascii="宋体" w:hAnsi="宋体"/>
          <w:b/>
          <w:bCs w:val="0"/>
          <w:color w:val="auto"/>
          <w:sz w:val="20"/>
        </w:rPr>
        <w:drawing>
          <wp:anchor distT="0" distB="0" distL="114300" distR="114300" simplePos="0" relativeHeight="251659264" behindDoc="0" locked="0" layoutInCell="1" allowOverlap="1">
            <wp:simplePos x="0" y="0"/>
            <wp:positionH relativeFrom="column">
              <wp:posOffset>179705</wp:posOffset>
            </wp:positionH>
            <wp:positionV relativeFrom="paragraph">
              <wp:posOffset>135255</wp:posOffset>
            </wp:positionV>
            <wp:extent cx="4914900" cy="1584960"/>
            <wp:effectExtent l="0" t="0" r="0" b="5715"/>
            <wp:wrapNone/>
            <wp:docPr id="7" name="图片 2"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校名"/>
                    <pic:cNvPicPr preferRelativeResize="0">
                      <a:picLocks noChangeAspect="1"/>
                    </pic:cNvPicPr>
                  </pic:nvPicPr>
                  <pic:blipFill>
                    <a:blip r:embed="rId5"/>
                    <a:stretch>
                      <a:fillRect/>
                    </a:stretch>
                  </pic:blipFill>
                  <pic:spPr>
                    <a:xfrm>
                      <a:off x="0" y="0"/>
                      <a:ext cx="4914900" cy="1584960"/>
                    </a:xfrm>
                    <a:prstGeom prst="rect">
                      <a:avLst/>
                    </a:prstGeom>
                    <a:noFill/>
                    <a:ln>
                      <a:noFill/>
                    </a:ln>
                  </pic:spPr>
                </pic:pic>
              </a:graphicData>
            </a:graphic>
          </wp:anchor>
        </w:drawing>
      </w:r>
    </w:p>
    <w:p w14:paraId="194B7EA5">
      <w:pPr>
        <w:spacing w:line="420" w:lineRule="exact"/>
        <w:ind w:firstLine="420" w:firstLineChars="200"/>
        <w:rPr>
          <w:rFonts w:hint="eastAsia" w:ascii="宋体" w:hAnsi="宋体"/>
          <w:b/>
          <w:bCs w:val="0"/>
          <w:color w:val="auto"/>
        </w:rPr>
      </w:pPr>
    </w:p>
    <w:p w14:paraId="5BD70F4A">
      <w:pPr>
        <w:spacing w:line="420" w:lineRule="exact"/>
        <w:ind w:firstLine="420" w:firstLineChars="200"/>
        <w:rPr>
          <w:rFonts w:hint="eastAsia" w:ascii="宋体" w:hAnsi="宋体"/>
          <w:b/>
          <w:bCs w:val="0"/>
          <w:color w:val="auto"/>
        </w:rPr>
      </w:pPr>
    </w:p>
    <w:p w14:paraId="23BBCF48">
      <w:pPr>
        <w:spacing w:line="420" w:lineRule="exact"/>
        <w:ind w:firstLine="420" w:firstLineChars="200"/>
        <w:rPr>
          <w:rFonts w:hint="eastAsia" w:ascii="宋体" w:hAnsi="宋体"/>
          <w:b/>
          <w:bCs w:val="0"/>
          <w:color w:val="auto"/>
        </w:rPr>
      </w:pPr>
    </w:p>
    <w:p w14:paraId="3DB1DDCE">
      <w:pPr>
        <w:spacing w:line="420" w:lineRule="exact"/>
        <w:ind w:firstLine="420" w:firstLineChars="200"/>
        <w:rPr>
          <w:rFonts w:hint="eastAsia" w:ascii="宋体" w:hAnsi="宋体"/>
          <w:b/>
          <w:bCs w:val="0"/>
          <w:color w:val="auto"/>
        </w:rPr>
      </w:pPr>
    </w:p>
    <w:p w14:paraId="61A92763">
      <w:pPr>
        <w:spacing w:line="420" w:lineRule="exact"/>
        <w:ind w:firstLine="420" w:firstLineChars="200"/>
        <w:rPr>
          <w:rFonts w:hint="eastAsia" w:ascii="宋体" w:hAnsi="宋体"/>
          <w:b/>
          <w:bCs w:val="0"/>
          <w:color w:val="auto"/>
        </w:rPr>
      </w:pPr>
    </w:p>
    <w:p w14:paraId="000C4A3D">
      <w:pPr>
        <w:spacing w:line="420" w:lineRule="exact"/>
        <w:ind w:firstLine="400" w:firstLineChars="200"/>
        <w:rPr>
          <w:rFonts w:hint="eastAsia" w:ascii="宋体" w:hAnsi="宋体"/>
          <w:b/>
          <w:bCs w:val="0"/>
          <w:color w:val="auto"/>
        </w:rPr>
      </w:pPr>
      <w:r>
        <w:rPr>
          <w:rFonts w:ascii="宋体" w:hAnsi="宋体"/>
          <w:b/>
          <w:bCs w:val="0"/>
          <w:color w:val="auto"/>
          <w:sz w:val="20"/>
        </w:rPr>
        <w:drawing>
          <wp:anchor distT="0" distB="0" distL="114300" distR="114300" simplePos="0" relativeHeight="251660288" behindDoc="0" locked="0" layoutInCell="1" allowOverlap="1">
            <wp:simplePos x="0" y="0"/>
            <wp:positionH relativeFrom="column">
              <wp:posOffset>2008505</wp:posOffset>
            </wp:positionH>
            <wp:positionV relativeFrom="paragraph">
              <wp:posOffset>213360</wp:posOffset>
            </wp:positionV>
            <wp:extent cx="1257300" cy="1287780"/>
            <wp:effectExtent l="0" t="0" r="0" b="7620"/>
            <wp:wrapNone/>
            <wp:docPr id="8" name="图片 3"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校徽"/>
                    <pic:cNvPicPr>
                      <a:picLocks noChangeAspect="1"/>
                    </pic:cNvPicPr>
                  </pic:nvPicPr>
                  <pic:blipFill>
                    <a:blip r:embed="rId6"/>
                    <a:stretch>
                      <a:fillRect/>
                    </a:stretch>
                  </pic:blipFill>
                  <pic:spPr>
                    <a:xfrm>
                      <a:off x="0" y="0"/>
                      <a:ext cx="1257300" cy="1287780"/>
                    </a:xfrm>
                    <a:prstGeom prst="rect">
                      <a:avLst/>
                    </a:prstGeom>
                    <a:noFill/>
                    <a:ln>
                      <a:noFill/>
                    </a:ln>
                  </pic:spPr>
                </pic:pic>
              </a:graphicData>
            </a:graphic>
          </wp:anchor>
        </w:drawing>
      </w:r>
    </w:p>
    <w:p w14:paraId="54937827">
      <w:pPr>
        <w:spacing w:line="420" w:lineRule="exact"/>
        <w:ind w:firstLine="420" w:firstLineChars="200"/>
        <w:rPr>
          <w:rFonts w:hint="eastAsia" w:ascii="宋体" w:hAnsi="宋体"/>
          <w:b/>
          <w:bCs w:val="0"/>
          <w:color w:val="auto"/>
        </w:rPr>
      </w:pPr>
    </w:p>
    <w:p w14:paraId="6B493E95">
      <w:pPr>
        <w:spacing w:line="420" w:lineRule="exact"/>
        <w:ind w:firstLine="420" w:firstLineChars="200"/>
        <w:rPr>
          <w:rFonts w:hint="eastAsia" w:ascii="宋体" w:hAnsi="宋体"/>
          <w:b/>
          <w:bCs w:val="0"/>
          <w:color w:val="auto"/>
        </w:rPr>
      </w:pPr>
    </w:p>
    <w:p w14:paraId="59AFEF15">
      <w:pPr>
        <w:spacing w:line="420" w:lineRule="exact"/>
        <w:ind w:firstLine="420" w:firstLineChars="200"/>
        <w:rPr>
          <w:rFonts w:hint="eastAsia" w:ascii="宋体" w:hAnsi="宋体"/>
          <w:b/>
          <w:bCs w:val="0"/>
          <w:color w:val="auto"/>
        </w:rPr>
      </w:pPr>
    </w:p>
    <w:p w14:paraId="6BE2A13A">
      <w:pPr>
        <w:spacing w:line="420" w:lineRule="exact"/>
        <w:ind w:firstLine="420" w:firstLineChars="200"/>
        <w:rPr>
          <w:rFonts w:hint="eastAsia" w:ascii="宋体" w:hAnsi="宋体"/>
          <w:b/>
          <w:bCs w:val="0"/>
          <w:color w:val="auto"/>
        </w:rPr>
      </w:pPr>
    </w:p>
    <w:p w14:paraId="7B76B769">
      <w:pPr>
        <w:spacing w:line="420" w:lineRule="exact"/>
        <w:ind w:firstLine="420" w:firstLineChars="200"/>
        <w:rPr>
          <w:rFonts w:hint="eastAsia" w:ascii="宋体" w:hAnsi="宋体"/>
          <w:b/>
          <w:bCs w:val="0"/>
          <w:color w:val="auto"/>
        </w:rPr>
      </w:pPr>
    </w:p>
    <w:p w14:paraId="5196213A">
      <w:pPr>
        <w:spacing w:line="360" w:lineRule="auto"/>
        <w:rPr>
          <w:rFonts w:hint="eastAsia" w:ascii="楷体_GB2312" w:hAnsi="宋体" w:eastAsia="楷体_GB2312"/>
          <w:b/>
          <w:bCs w:val="0"/>
          <w:color w:val="auto"/>
          <w:sz w:val="44"/>
        </w:rPr>
      </w:pPr>
    </w:p>
    <w:p w14:paraId="21BFB9A5">
      <w:pPr>
        <w:spacing w:line="360" w:lineRule="auto"/>
        <w:jc w:val="center"/>
        <w:rPr>
          <w:rFonts w:hint="eastAsia" w:ascii="楷体" w:hAnsi="楷体" w:eastAsia="楷体"/>
          <w:b/>
          <w:bCs w:val="0"/>
          <w:color w:val="auto"/>
          <w:sz w:val="44"/>
        </w:rPr>
      </w:pPr>
      <w:r>
        <w:rPr>
          <w:rFonts w:hint="eastAsia" w:ascii="楷体" w:hAnsi="楷体" w:eastAsia="楷体"/>
          <w:b/>
          <w:bCs w:val="0"/>
          <w:color w:val="auto"/>
          <w:sz w:val="44"/>
        </w:rPr>
        <w:t>本科生课程论文</w:t>
      </w:r>
    </w:p>
    <w:p w14:paraId="5602678B">
      <w:pPr>
        <w:spacing w:line="360" w:lineRule="auto"/>
        <w:ind w:firstLine="422" w:firstLineChars="200"/>
        <w:rPr>
          <w:rFonts w:hint="eastAsia" w:ascii="楷体" w:hAnsi="楷体" w:eastAsia="楷体"/>
          <w:b/>
          <w:bCs w:val="0"/>
          <w:color w:val="auto"/>
        </w:rPr>
      </w:pPr>
    </w:p>
    <w:p w14:paraId="4E510385">
      <w:pPr>
        <w:spacing w:line="360" w:lineRule="auto"/>
        <w:ind w:firstLine="422" w:firstLineChars="200"/>
        <w:rPr>
          <w:rFonts w:hint="eastAsia" w:ascii="楷体" w:hAnsi="楷体" w:eastAsia="楷体"/>
          <w:b/>
          <w:bCs w:val="0"/>
          <w:color w:val="auto"/>
        </w:rPr>
      </w:pPr>
    </w:p>
    <w:p w14:paraId="6240DB8D">
      <w:pPr>
        <w:spacing w:line="420" w:lineRule="exact"/>
        <w:ind w:firstLine="422" w:firstLineChars="200"/>
        <w:rPr>
          <w:rFonts w:hint="eastAsia" w:ascii="楷体" w:hAnsi="楷体" w:eastAsia="楷体"/>
          <w:b/>
          <w:bCs w:val="0"/>
          <w:color w:val="auto"/>
        </w:rPr>
      </w:pPr>
    </w:p>
    <w:p w14:paraId="76FDAE1B">
      <w:pPr>
        <w:spacing w:line="420" w:lineRule="exact"/>
        <w:jc w:val="both"/>
        <w:rPr>
          <w:rFonts w:hint="eastAsia" w:ascii="楷体" w:hAnsi="楷体" w:eastAsia="楷体"/>
          <w:b/>
          <w:bCs w:val="0"/>
          <w:color w:val="auto"/>
          <w:sz w:val="30"/>
        </w:rPr>
      </w:pPr>
    </w:p>
    <w:p w14:paraId="10D8A472">
      <w:pPr>
        <w:spacing w:line="420" w:lineRule="exact"/>
        <w:ind w:firstLine="2711" w:firstLineChars="900"/>
        <w:jc w:val="both"/>
        <w:rPr>
          <w:rFonts w:hint="default" w:ascii="楷体" w:hAnsi="楷体" w:eastAsia="楷体"/>
          <w:b/>
          <w:bCs w:val="0"/>
          <w:color w:val="auto"/>
          <w:sz w:val="30"/>
          <w:u w:val="single"/>
          <w:lang w:val="en-US" w:eastAsia="zh-CN"/>
        </w:rPr>
      </w:pPr>
      <w:r>
        <w:rPr>
          <w:rFonts w:hint="eastAsia" w:ascii="楷体" w:hAnsi="楷体" w:eastAsia="楷体"/>
          <w:b/>
          <w:bCs w:val="0"/>
          <w:color w:val="auto"/>
          <w:sz w:val="30"/>
        </w:rPr>
        <w:t>姓  名：</w:t>
      </w:r>
      <w:r>
        <w:rPr>
          <w:rFonts w:hint="eastAsia" w:ascii="楷体" w:hAnsi="楷体" w:eastAsia="楷体"/>
          <w:b/>
          <w:bCs w:val="0"/>
          <w:color w:val="auto"/>
          <w:sz w:val="30"/>
          <w:u w:val="single"/>
        </w:rPr>
        <w:t xml:space="preserve">  </w:t>
      </w:r>
      <w:r>
        <w:rPr>
          <w:rFonts w:ascii="楷体" w:hAnsi="楷体" w:eastAsia="楷体"/>
          <w:b/>
          <w:bCs w:val="0"/>
          <w:color w:val="auto"/>
          <w:sz w:val="30"/>
          <w:u w:val="single"/>
        </w:rPr>
        <w:t xml:space="preserve"> </w:t>
      </w:r>
      <w:r>
        <w:rPr>
          <w:rFonts w:hint="eastAsia" w:ascii="楷体" w:hAnsi="楷体" w:eastAsia="楷体"/>
          <w:b/>
          <w:bCs w:val="0"/>
          <w:color w:val="auto"/>
          <w:sz w:val="30"/>
          <w:u w:val="single"/>
          <w:lang w:val="en-US" w:eastAsia="zh-CN"/>
        </w:rPr>
        <w:t xml:space="preserve">      </w:t>
      </w:r>
      <w:r>
        <w:rPr>
          <w:rFonts w:ascii="楷体" w:hAnsi="楷体" w:eastAsia="楷体"/>
          <w:b/>
          <w:bCs w:val="0"/>
          <w:color w:val="auto"/>
          <w:sz w:val="30"/>
          <w:u w:val="single"/>
        </w:rPr>
        <w:t xml:space="preserve">  </w:t>
      </w:r>
      <w:r>
        <w:rPr>
          <w:rFonts w:hint="eastAsia" w:ascii="楷体" w:hAnsi="楷体" w:eastAsia="楷体"/>
          <w:b/>
          <w:bCs w:val="0"/>
          <w:color w:val="auto"/>
          <w:sz w:val="30"/>
          <w:u w:val="single"/>
          <w:lang w:val="en-US" w:eastAsia="zh-CN"/>
        </w:rPr>
        <w:t xml:space="preserve">  </w:t>
      </w:r>
    </w:p>
    <w:p w14:paraId="6FA3B8C0">
      <w:pPr>
        <w:spacing w:line="420" w:lineRule="exact"/>
        <w:ind w:firstLine="602" w:firstLineChars="200"/>
        <w:jc w:val="center"/>
        <w:rPr>
          <w:rFonts w:hint="eastAsia" w:ascii="楷体" w:hAnsi="楷体" w:eastAsia="楷体"/>
          <w:b/>
          <w:bCs w:val="0"/>
          <w:color w:val="auto"/>
          <w:sz w:val="30"/>
        </w:rPr>
      </w:pPr>
    </w:p>
    <w:p w14:paraId="2341CEA2">
      <w:pPr>
        <w:spacing w:line="420" w:lineRule="exact"/>
        <w:ind w:firstLine="2711" w:firstLineChars="900"/>
        <w:jc w:val="both"/>
        <w:rPr>
          <w:rFonts w:hint="default" w:ascii="楷体" w:hAnsi="楷体" w:eastAsia="楷体"/>
          <w:b/>
          <w:bCs w:val="0"/>
          <w:color w:val="auto"/>
          <w:sz w:val="30"/>
          <w:lang w:val="en-US" w:eastAsia="zh-CN"/>
        </w:rPr>
      </w:pPr>
      <w:r>
        <w:rPr>
          <w:rFonts w:hint="eastAsia" w:ascii="楷体" w:hAnsi="楷体" w:eastAsia="楷体"/>
          <w:b/>
          <w:bCs w:val="0"/>
          <w:color w:val="auto"/>
          <w:sz w:val="30"/>
        </w:rPr>
        <w:t>学  号：</w:t>
      </w:r>
      <w:r>
        <w:rPr>
          <w:rFonts w:ascii="楷体" w:hAnsi="楷体" w:eastAsia="楷体"/>
          <w:b/>
          <w:bCs w:val="0"/>
          <w:color w:val="auto"/>
          <w:sz w:val="30"/>
          <w:u w:val="single"/>
        </w:rPr>
        <w:t xml:space="preserve">  </w:t>
      </w:r>
      <w:r>
        <w:rPr>
          <w:rFonts w:hint="eastAsia" w:ascii="楷体" w:hAnsi="楷体" w:eastAsia="楷体"/>
          <w:b/>
          <w:bCs w:val="0"/>
          <w:color w:val="auto"/>
          <w:sz w:val="30"/>
          <w:u w:val="single"/>
          <w:lang w:val="en-US" w:eastAsia="zh-CN"/>
        </w:rPr>
        <w:t xml:space="preserve">       </w:t>
      </w:r>
    </w:p>
    <w:p w14:paraId="7B129D55">
      <w:pPr>
        <w:spacing w:line="420" w:lineRule="exact"/>
        <w:jc w:val="both"/>
        <w:rPr>
          <w:rFonts w:hint="eastAsia" w:ascii="楷体" w:hAnsi="楷体" w:eastAsia="楷体"/>
          <w:b/>
          <w:bCs w:val="0"/>
          <w:color w:val="auto"/>
          <w:sz w:val="30"/>
        </w:rPr>
      </w:pPr>
    </w:p>
    <w:p w14:paraId="2C0E2458">
      <w:pPr>
        <w:spacing w:line="420" w:lineRule="exact"/>
        <w:ind w:firstLine="2711" w:firstLineChars="900"/>
        <w:jc w:val="both"/>
        <w:rPr>
          <w:rFonts w:ascii="楷体" w:hAnsi="楷体" w:eastAsia="楷体"/>
          <w:b/>
          <w:bCs w:val="0"/>
          <w:color w:val="auto"/>
          <w:sz w:val="30"/>
          <w:u w:val="single"/>
        </w:rPr>
      </w:pPr>
      <w:r>
        <w:rPr>
          <w:rFonts w:hint="eastAsia" w:ascii="楷体" w:hAnsi="楷体" w:eastAsia="楷体"/>
          <w:b/>
          <w:bCs w:val="0"/>
          <w:color w:val="auto"/>
          <w:sz w:val="30"/>
        </w:rPr>
        <w:t>专  业：</w:t>
      </w:r>
      <w:r>
        <w:rPr>
          <w:rFonts w:hint="eastAsia" w:ascii="楷体" w:hAnsi="楷体" w:eastAsia="楷体"/>
          <w:b/>
          <w:bCs w:val="0"/>
          <w:color w:val="auto"/>
          <w:sz w:val="30"/>
          <w:u w:val="single"/>
        </w:rPr>
        <w:t xml:space="preserve"> </w:t>
      </w:r>
      <w:r>
        <w:rPr>
          <w:rFonts w:hint="eastAsia" w:ascii="楷体" w:hAnsi="楷体" w:eastAsia="楷体"/>
          <w:b/>
          <w:bCs w:val="0"/>
          <w:color w:val="auto"/>
          <w:sz w:val="30"/>
          <w:u w:val="single"/>
          <w:lang w:val="en-US" w:eastAsia="zh-CN"/>
        </w:rPr>
        <w:t xml:space="preserve"> </w:t>
      </w:r>
      <w:bookmarkStart w:id="0" w:name="_GoBack"/>
      <w:bookmarkEnd w:id="0"/>
      <w:r>
        <w:rPr>
          <w:rFonts w:hint="eastAsia" w:ascii="楷体" w:hAnsi="楷体" w:eastAsia="楷体"/>
          <w:b/>
          <w:bCs w:val="0"/>
          <w:color w:val="auto"/>
          <w:sz w:val="30"/>
          <w:u w:val="single"/>
          <w:lang w:val="en-US" w:eastAsia="zh-CN"/>
        </w:rPr>
        <w:t xml:space="preserve"> </w:t>
      </w:r>
      <w:r>
        <w:rPr>
          <w:rFonts w:ascii="楷体" w:hAnsi="楷体" w:eastAsia="楷体"/>
          <w:b/>
          <w:bCs w:val="0"/>
          <w:color w:val="auto"/>
          <w:sz w:val="30"/>
          <w:u w:val="single"/>
        </w:rPr>
        <w:t xml:space="preserve"> </w:t>
      </w:r>
    </w:p>
    <w:p w14:paraId="7C01551F">
      <w:pPr>
        <w:rPr>
          <w:rFonts w:hint="eastAsia" w:ascii="楷体" w:hAnsi="楷体" w:eastAsia="楷体"/>
          <w:b/>
          <w:bCs w:val="0"/>
          <w:color w:val="auto"/>
          <w:sz w:val="30"/>
          <w:u w:val="single"/>
        </w:rPr>
      </w:pPr>
      <w:r>
        <w:rPr>
          <w:rFonts w:ascii="楷体" w:hAnsi="楷体" w:eastAsia="楷体"/>
          <w:b/>
          <w:bCs w:val="0"/>
          <w:color w:val="auto"/>
          <w:sz w:val="30"/>
          <w:u w:val="single"/>
        </w:rPr>
        <w:br w:type="page"/>
      </w:r>
    </w:p>
    <w:p w14:paraId="5DB801F5">
      <w:pPr>
        <w:spacing w:line="360" w:lineRule="auto"/>
        <w:jc w:val="center"/>
        <w:rPr>
          <w:rFonts w:hint="eastAsia" w:ascii="黑体" w:hAnsi="黑体" w:eastAsia="黑体"/>
          <w:sz w:val="32"/>
          <w:szCs w:val="32"/>
          <w:lang w:val="en-US" w:eastAsia="zh-CN"/>
        </w:rPr>
      </w:pPr>
      <w:r>
        <w:rPr>
          <w:rFonts w:hint="eastAsia" w:ascii="黑体" w:hAnsi="黑体" w:eastAsia="黑体"/>
          <w:sz w:val="32"/>
          <w:szCs w:val="32"/>
        </w:rPr>
        <w:t>中国养老金制度的演变与养老金融创新路径</w:t>
      </w:r>
      <w:r>
        <w:rPr>
          <w:rFonts w:hint="eastAsia" w:ascii="黑体" w:hAnsi="黑体" w:eastAsia="黑体"/>
          <w:sz w:val="32"/>
          <w:szCs w:val="32"/>
          <w:lang w:val="en-US" w:eastAsia="zh-CN"/>
        </w:rPr>
        <w:t>分析</w:t>
      </w:r>
    </w:p>
    <w:p w14:paraId="69315AD7">
      <w:pPr>
        <w:spacing w:line="360" w:lineRule="auto"/>
        <w:jc w:val="right"/>
        <w:rPr>
          <w:rFonts w:ascii="黑体" w:hAnsi="黑体" w:eastAsia="黑体"/>
          <w:sz w:val="28"/>
          <w:szCs w:val="28"/>
        </w:rPr>
      </w:pPr>
      <w:r>
        <w:rPr>
          <w:rFonts w:ascii="黑体" w:hAnsi="黑体" w:eastAsia="黑体"/>
          <w:sz w:val="28"/>
          <w:szCs w:val="28"/>
        </w:rPr>
        <w:t>——</w:t>
      </w:r>
      <w:r>
        <w:rPr>
          <w:rFonts w:hint="eastAsia" w:ascii="黑体" w:hAnsi="黑体" w:eastAsia="黑体"/>
          <w:sz w:val="28"/>
          <w:szCs w:val="28"/>
          <w:lang w:val="en-US" w:eastAsia="zh-CN"/>
        </w:rPr>
        <w:t>改革开放</w:t>
      </w:r>
      <w:r>
        <w:rPr>
          <w:rFonts w:hint="eastAsia" w:ascii="黑体" w:hAnsi="黑体" w:eastAsia="黑体"/>
          <w:sz w:val="28"/>
          <w:szCs w:val="28"/>
        </w:rPr>
        <w:t>守正与创新：从传统保障到现代金融的转型</w:t>
      </w:r>
    </w:p>
    <w:p w14:paraId="22EB7CCE">
      <w:pPr>
        <w:spacing w:line="360" w:lineRule="auto"/>
        <w:ind w:firstLine="1440" w:firstLineChars="600"/>
        <w:rPr>
          <w:rFonts w:ascii="宋体" w:hAnsi="宋体" w:eastAsia="宋体"/>
          <w:sz w:val="24"/>
          <w:szCs w:val="24"/>
        </w:rPr>
      </w:pPr>
    </w:p>
    <w:p w14:paraId="5EA234F3">
      <w:pPr>
        <w:pStyle w:val="8"/>
        <w:spacing w:before="240" w:after="240" w:line="360" w:lineRule="auto"/>
        <w:jc w:val="both"/>
      </w:pPr>
      <w:r>
        <w:rPr>
          <w:rFonts w:hint="eastAsia" w:ascii="黑体" w:hAnsi="黑体" w:eastAsia="黑体"/>
          <w:b/>
          <w:bCs/>
        </w:rPr>
        <w:t>摘要</w:t>
      </w:r>
      <w:r>
        <w:rPr>
          <w:rFonts w:hint="eastAsia"/>
        </w:rPr>
        <w:t>：随着改革开放，中国社会经济结构变化显著，人口老龄化问题突出。2024年12月15日起，中国个人养老金制度从</w:t>
      </w:r>
      <w:r>
        <w:rPr>
          <w:rFonts w:hint="eastAsia"/>
          <w:lang w:val="en-US" w:eastAsia="zh-CN"/>
        </w:rPr>
        <w:t>试点</w:t>
      </w:r>
      <w:r>
        <w:rPr>
          <w:rFonts w:hint="eastAsia"/>
        </w:rPr>
        <w:t>推开至全国范围</w:t>
      </w:r>
      <w:r>
        <w:rPr>
          <w:rFonts w:hint="eastAsia"/>
          <w:lang w:eastAsia="zh-CN"/>
        </w:rPr>
        <w:t>，</w:t>
      </w:r>
      <w:r>
        <w:rPr>
          <w:rFonts w:hint="eastAsia"/>
          <w:lang w:val="en-US" w:eastAsia="zh-CN"/>
        </w:rPr>
        <w:t>再度使养老金制度成为社会热点</w:t>
      </w:r>
      <w:r>
        <w:rPr>
          <w:rFonts w:hint="eastAsia"/>
        </w:rPr>
        <w:t>。</w:t>
      </w:r>
      <w:r>
        <w:rPr>
          <w:rFonts w:hint="eastAsia"/>
          <w:lang w:val="en-US" w:eastAsia="zh-CN"/>
        </w:rPr>
        <w:t>本文概述了</w:t>
      </w:r>
      <w:r>
        <w:rPr>
          <w:rFonts w:hint="eastAsia"/>
        </w:rPr>
        <w:t>中国养老金制度从计划经济时期的国家主导型向市场经济的社会化发展模式转变的过程，并分析了改革开放前、改革开放初期、1990年代以及21世纪养老金制度的改革和挑战。</w:t>
      </w:r>
      <w:r>
        <w:rPr>
          <w:rFonts w:hint="eastAsia"/>
          <w:lang w:val="en-US" w:eastAsia="zh-CN"/>
        </w:rPr>
        <w:t>本文探讨了</w:t>
      </w:r>
      <w:r>
        <w:rPr>
          <w:rFonts w:hint="eastAsia"/>
        </w:rPr>
        <w:t>养老金制度中的</w:t>
      </w:r>
      <w:r>
        <w:rPr>
          <w:rFonts w:hint="eastAsia"/>
          <w:lang w:eastAsia="zh-CN"/>
        </w:rPr>
        <w:t>“</w:t>
      </w:r>
      <w:r>
        <w:rPr>
          <w:rFonts w:hint="eastAsia"/>
        </w:rPr>
        <w:t>守正</w:t>
      </w:r>
      <w:r>
        <w:rPr>
          <w:rFonts w:hint="eastAsia"/>
          <w:lang w:eastAsia="zh-CN"/>
        </w:rPr>
        <w:t>”</w:t>
      </w:r>
      <w:r>
        <w:rPr>
          <w:rFonts w:hint="eastAsia"/>
        </w:rPr>
        <w:t>，包括坚持公平价值取向、养老保险制度的相对稳定性和多层次体系的建设，以及以人为本的核心价值理念。同时，</w:t>
      </w:r>
      <w:r>
        <w:rPr>
          <w:rFonts w:hint="eastAsia"/>
          <w:lang w:val="en-US" w:eastAsia="zh-CN"/>
        </w:rPr>
        <w:t>分析</w:t>
      </w:r>
      <w:r>
        <w:rPr>
          <w:rFonts w:hint="eastAsia"/>
        </w:rPr>
        <w:t>了养老金制度中的</w:t>
      </w:r>
      <w:r>
        <w:rPr>
          <w:rFonts w:hint="eastAsia"/>
          <w:lang w:eastAsia="zh-CN"/>
        </w:rPr>
        <w:t>“</w:t>
      </w:r>
      <w:r>
        <w:rPr>
          <w:rFonts w:hint="eastAsia"/>
        </w:rPr>
        <w:t>创新</w:t>
      </w:r>
      <w:r>
        <w:rPr>
          <w:rFonts w:hint="eastAsia"/>
          <w:lang w:eastAsia="zh-CN"/>
        </w:rPr>
        <w:t>”</w:t>
      </w:r>
      <w:r>
        <w:rPr>
          <w:rFonts w:hint="eastAsia"/>
        </w:rPr>
        <w:t>，</w:t>
      </w:r>
      <w:r>
        <w:rPr>
          <w:rFonts w:hint="eastAsia"/>
          <w:lang w:val="en-US" w:eastAsia="zh-CN"/>
        </w:rPr>
        <w:t>从</w:t>
      </w:r>
      <w:r>
        <w:rPr>
          <w:rFonts w:hint="eastAsia"/>
        </w:rPr>
        <w:t>个人养老金制度</w:t>
      </w:r>
      <w:r>
        <w:rPr>
          <w:rFonts w:hint="eastAsia"/>
          <w:lang w:val="en-US" w:eastAsia="zh-CN"/>
        </w:rPr>
        <w:t>到</w:t>
      </w:r>
      <w:r>
        <w:rPr>
          <w:rFonts w:hint="eastAsia"/>
        </w:rPr>
        <w:t>金融科技的应用。</w:t>
      </w:r>
      <w:r>
        <w:rPr>
          <w:rFonts w:hint="eastAsia"/>
          <w:lang w:val="en-US" w:eastAsia="zh-CN"/>
        </w:rPr>
        <w:t>本文辩证分析了现有</w:t>
      </w:r>
      <w:r>
        <w:rPr>
          <w:rFonts w:hint="eastAsia"/>
        </w:rPr>
        <w:t>养老金制度与养老金融创新的互动关系，并提出了中国养老金制度面临的个人养老金支付压力、基金盈余问题、可持续性与公平性问题，以及国际经验对中国养老金制度创新的启示。</w:t>
      </w:r>
    </w:p>
    <w:p w14:paraId="12487E24">
      <w:pPr>
        <w:pStyle w:val="8"/>
        <w:spacing w:before="240" w:beforeAutospacing="0" w:after="240" w:afterAutospacing="0" w:line="360" w:lineRule="auto"/>
        <w:jc w:val="both"/>
        <w:rPr>
          <w:rFonts w:hint="eastAsia" w:eastAsia="宋体"/>
          <w:lang w:eastAsia="zh-CN"/>
        </w:rPr>
      </w:pPr>
      <w:r>
        <w:rPr>
          <w:rFonts w:hint="eastAsia" w:ascii="黑体" w:hAnsi="黑体" w:eastAsia="黑体"/>
          <w:b/>
          <w:bCs/>
        </w:rPr>
        <w:t>关键词</w:t>
      </w:r>
      <w:r>
        <w:rPr>
          <w:rFonts w:hint="eastAsia"/>
        </w:rPr>
        <w:t>：养老金制度</w:t>
      </w:r>
      <w:r>
        <w:rPr>
          <w:rFonts w:hint="eastAsia"/>
          <w:lang w:val="en-US" w:eastAsia="zh-CN"/>
        </w:rPr>
        <w:t>改革</w:t>
      </w:r>
      <w:r>
        <w:rPr>
          <w:rFonts w:hint="eastAsia"/>
        </w:rPr>
        <w:t>；人口老龄化；养老金融</w:t>
      </w:r>
      <w:r>
        <w:rPr>
          <w:rFonts w:hint="eastAsia"/>
          <w:lang w:eastAsia="zh-CN"/>
        </w:rPr>
        <w:t>；个人养老金制度</w:t>
      </w:r>
    </w:p>
    <w:p w14:paraId="5EE92E6C">
      <w:pPr>
        <w:spacing w:line="360" w:lineRule="auto"/>
        <w:ind w:firstLine="640" w:firstLineChars="200"/>
        <w:rPr>
          <w:rFonts w:hint="eastAsia" w:ascii="宋体" w:hAnsi="宋体" w:eastAsia="宋体"/>
          <w:sz w:val="32"/>
          <w:szCs w:val="32"/>
        </w:rPr>
      </w:pPr>
      <w:r>
        <w:rPr>
          <w:rFonts w:hint="eastAsia" w:ascii="黑体" w:hAnsi="黑体" w:eastAsia="黑体"/>
          <w:sz w:val="32"/>
          <w:szCs w:val="32"/>
        </w:rPr>
        <w:t>一、引言</w:t>
      </w:r>
    </w:p>
    <w:p w14:paraId="0BB1D175">
      <w:pPr>
        <w:spacing w:line="360" w:lineRule="auto"/>
        <w:ind w:firstLine="480" w:firstLineChars="200"/>
        <w:rPr>
          <w:rFonts w:hint="eastAsia" w:ascii="宋体" w:hAnsi="宋体" w:eastAsia="宋体"/>
          <w:sz w:val="24"/>
        </w:rPr>
      </w:pPr>
      <w:r>
        <w:rPr>
          <w:rFonts w:hint="eastAsia" w:ascii="宋体" w:hAnsi="宋体" w:eastAsia="宋体"/>
          <w:sz w:val="24"/>
        </w:rPr>
        <w:t>随着改革开放的深入推进，中国社会经济结构发生了深刻变化，其中人口老龄化问题日益凸显。根据《2023年度国家老龄事业发展公报》显示，截至2023年末，全国60周岁及以上老年人口29697万人，占总人口的21.1%；全国65周岁及以上老年人口21676万人，占总人口的15.4%</w:t>
      </w:r>
      <w:r>
        <w:rPr>
          <w:rStyle w:val="15"/>
          <w:rFonts w:hint="eastAsia" w:ascii="宋体" w:hAnsi="宋体" w:eastAsia="宋体"/>
          <w:sz w:val="24"/>
        </w:rPr>
        <w:footnoteReference w:id="0"/>
      </w:r>
      <w:r>
        <w:rPr>
          <w:rFonts w:hint="eastAsia" w:ascii="宋体" w:hAnsi="宋体" w:eastAsia="宋体"/>
          <w:sz w:val="24"/>
          <w:lang w:eastAsia="zh-CN"/>
        </w:rPr>
        <w:t>，</w:t>
      </w:r>
      <w:r>
        <w:rPr>
          <w:rFonts w:hint="eastAsia" w:ascii="宋体" w:hAnsi="宋体" w:eastAsia="宋体"/>
          <w:sz w:val="24"/>
          <w:lang w:val="en-US" w:eastAsia="zh-CN"/>
        </w:rPr>
        <w:t>说明</w:t>
      </w:r>
      <w:r>
        <w:rPr>
          <w:rFonts w:hint="eastAsia" w:ascii="宋体" w:hAnsi="宋体" w:eastAsia="宋体"/>
          <w:sz w:val="24"/>
        </w:rPr>
        <w:t>我国已进入中度老龄化社会。老龄化对经济社会发展带来一系列压力，如老年人口抚养比上升、居民养老负担加重，以及养老金/GDP比例、基本养老金替代率与国际水平存在差距。</w:t>
      </w:r>
    </w:p>
    <w:p w14:paraId="200A21E7">
      <w:pPr>
        <w:spacing w:line="360" w:lineRule="auto"/>
        <w:ind w:firstLine="480" w:firstLineChars="200"/>
        <w:rPr>
          <w:rFonts w:hint="eastAsia" w:ascii="宋体" w:hAnsi="宋体" w:eastAsia="宋体"/>
          <w:sz w:val="24"/>
        </w:rPr>
      </w:pPr>
      <w:r>
        <w:rPr>
          <w:rFonts w:hint="eastAsia" w:ascii="宋体" w:hAnsi="宋体" w:eastAsia="宋体"/>
          <w:sz w:val="24"/>
        </w:rPr>
        <w:t>自新中国成立以来，我国养老金体系经历了多次演变。从计划经济时期单一的国家主导型养老金体系，到改革开放初期开始逐步引入市场机制与多层次保障体系，再到近年来面对人口老龄化带来的严峻挑战，养老金制度不断进行着制度性调整和创新。改革开放初期，养老金制度以保障城镇职工为主，逐渐形成了以基本养老保险为主体的三支柱体系，涵盖了政府、企业和个人层面的保障内容。然而，随着人口老龄化加剧、劳动力市场变化以及经济增长放缓，现行养老金体系在保障水平、可持续性和公平性等方面暴露出一定的不足，迫切需要新的改革与创新。</w:t>
      </w:r>
    </w:p>
    <w:p w14:paraId="4F49ABB7">
      <w:pPr>
        <w:spacing w:line="360" w:lineRule="auto"/>
        <w:ind w:firstLine="480" w:firstLineChars="200"/>
        <w:rPr>
          <w:rFonts w:hint="eastAsia" w:ascii="宋体" w:hAnsi="宋体" w:eastAsia="宋体"/>
          <w:sz w:val="24"/>
        </w:rPr>
      </w:pPr>
      <w:r>
        <w:rPr>
          <w:rFonts w:hint="eastAsia" w:ascii="宋体" w:hAnsi="宋体" w:eastAsia="宋体"/>
          <w:sz w:val="24"/>
        </w:rPr>
        <w:t>在这一背景下，"守正"与"创新"的理念成为当前养老金制度变革的主旋律。传统养老金体系中的基本养老保险依然是保障老年生活的基石，具有不可替代的作用，体现了制度的稳定性与可持续性。这一部分为保障老年群体的基本生活需要提供了坚实基础。然而，面对经济发展和人口结构的深刻变化，如何通过创新引入新的元素来应对挑战，成为关键。近年来，个人养老金的推出标志着我国在养老保障体系中的一次重要创新，通过鼓励个人参与养老金积累，可以有效缓解传统公共养老金制度的压力，进一步提升居民的养老保障水平。同时，金融科技与互联网大数据的运用使得养老金的投资管理更加灵活与智能化，投资者可以根据个性化的需求选择不同的养老金产品和服务，降低管理成本，提高资金运作效率，使得养老金的覆盖面、管理效率和资金运作能力得到了前所未有的提升。</w:t>
      </w:r>
    </w:p>
    <w:p w14:paraId="62FF4407">
      <w:pPr>
        <w:spacing w:line="360" w:lineRule="auto"/>
        <w:ind w:firstLine="480" w:firstLineChars="200"/>
        <w:rPr>
          <w:rFonts w:hint="eastAsia" w:ascii="宋体" w:hAnsi="宋体" w:eastAsia="宋体"/>
          <w:sz w:val="24"/>
        </w:rPr>
      </w:pPr>
      <w:r>
        <w:rPr>
          <w:rFonts w:hint="eastAsia" w:ascii="宋体" w:hAnsi="宋体" w:eastAsia="宋体"/>
          <w:sz w:val="24"/>
        </w:rPr>
        <w:t>本研究旨在探讨中国改革开放以来养老金制度的演变路径，分析"守正"与"创新"在养老金体系中的体现，</w:t>
      </w:r>
      <w:r>
        <w:rPr>
          <w:rFonts w:hint="eastAsia" w:ascii="宋体" w:hAnsi="宋体" w:eastAsia="宋体"/>
          <w:sz w:val="24"/>
          <w:lang w:val="en-US" w:eastAsia="zh-CN"/>
        </w:rPr>
        <w:t>探索在保持原有的保障与服务性质不变的前提下，</w:t>
      </w:r>
      <w:r>
        <w:rPr>
          <w:rFonts w:hint="eastAsia" w:ascii="宋体" w:hAnsi="宋体" w:eastAsia="宋体"/>
          <w:sz w:val="24"/>
        </w:rPr>
        <w:t>通过个人养老金制度和金融科技的融合创新，推动养老金制度的进一步完善和可持续发展。</w:t>
      </w:r>
    </w:p>
    <w:p w14:paraId="31640DEB">
      <w:pPr>
        <w:spacing w:line="360" w:lineRule="auto"/>
        <w:ind w:firstLine="480" w:firstLineChars="200"/>
        <w:rPr>
          <w:rFonts w:hint="eastAsia" w:ascii="宋体" w:hAnsi="宋体" w:eastAsia="宋体"/>
          <w:sz w:val="24"/>
        </w:rPr>
      </w:pPr>
    </w:p>
    <w:p w14:paraId="22668934">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二、中国养老金制度的历史演变</w:t>
      </w:r>
    </w:p>
    <w:p w14:paraId="47076693">
      <w:pPr>
        <w:spacing w:line="360" w:lineRule="auto"/>
        <w:ind w:firstLine="560" w:firstLineChars="200"/>
        <w:rPr>
          <w:rFonts w:hint="eastAsia" w:eastAsia="宋体"/>
          <w:lang w:val="en-US" w:eastAsia="zh-CN"/>
        </w:rPr>
      </w:pPr>
      <w:r>
        <w:rPr>
          <w:rFonts w:hint="eastAsia" w:ascii="黑体" w:hAnsi="黑体" w:eastAsia="黑体"/>
          <w:sz w:val="28"/>
          <w:szCs w:val="28"/>
        </w:rPr>
        <w:t>（一）改革开放前养老金制度</w:t>
      </w:r>
    </w:p>
    <w:p w14:paraId="2473059A">
      <w:pPr>
        <w:pStyle w:val="8"/>
        <w:spacing w:before="0" w:beforeAutospacing="0" w:after="0" w:afterAutospacing="0" w:line="360" w:lineRule="auto"/>
        <w:ind w:firstLine="480" w:firstLineChars="200"/>
        <w:rPr>
          <w:rFonts w:hint="eastAsia"/>
        </w:rPr>
      </w:pPr>
      <w:r>
        <w:rPr>
          <w:rFonts w:hint="eastAsia"/>
        </w:rPr>
        <w:t>在改革开放前，中国的养老金制度主要针对国家机关、事业单位及企业职工。1951年，《中华人民共和国劳动保险条例》的颁布标志着企业职工退休金制度的建立</w:t>
      </w:r>
      <w:r>
        <w:rPr>
          <w:rStyle w:val="15"/>
          <w:rFonts w:hint="eastAsia"/>
        </w:rPr>
        <w:footnoteReference w:id="1"/>
      </w:r>
      <w:r>
        <w:rPr>
          <w:rFonts w:hint="eastAsia"/>
        </w:rPr>
        <w:t>。随后，1955年建立了国家机关和事业单位工作人员的退休金制度，1958年对上述两项制度进行了政策统一。这些制度主要覆盖了工薪劳动者，而农民和其他社会成员并没有养老保险制度。</w:t>
      </w:r>
    </w:p>
    <w:p w14:paraId="7FDD8BC9">
      <w:pPr>
        <w:pStyle w:val="8"/>
        <w:spacing w:before="0" w:beforeAutospacing="0" w:after="0" w:afterAutospacing="0" w:line="360" w:lineRule="auto"/>
        <w:rPr>
          <w:rFonts w:hint="default" w:eastAsia="宋体"/>
          <w:lang w:val="en-US" w:eastAsia="zh-CN"/>
        </w:rPr>
      </w:pPr>
      <w:r>
        <w:rPr>
          <w:rFonts w:hint="eastAsia"/>
          <w:lang w:val="en-US" w:eastAsia="zh-CN"/>
        </w:rPr>
        <w:t xml:space="preserve">    在计划经济时期，即新中国成立至改革开放前，国家通过土地改革、合作化运动与人民公社等社会改革，实现了生产资料公有制。养老方面，经过制度模仿期、制度初创期和制度失序期，以公平优先、注重分配均等的国家主导型养老金制度逐步建立。通过相对普惠的福利供给，初步解决劳动者的养老问题，进而巩固新生政权。在城镇，国家基于终身就业，建立了一整套由企业、单位直接提供福利与服务的养老保障体系。在农村，则通过五保供养制度，实现对鳏、寡、孤、独老人的养老兜底。这一时期国家以一种全能的姿态实施自上而下的直线控制机制，通过“低工资、高就业、高补贴”的平均主义政策</w:t>
      </w:r>
      <w:r>
        <w:rPr>
          <w:rStyle w:val="15"/>
          <w:rFonts w:hint="eastAsia"/>
          <w:lang w:val="en-US" w:eastAsia="zh-CN"/>
        </w:rPr>
        <w:footnoteReference w:id="2"/>
      </w:r>
      <w:r>
        <w:rPr>
          <w:rFonts w:hint="eastAsia"/>
          <w:lang w:val="en-US" w:eastAsia="zh-CN"/>
        </w:rPr>
        <w:t>。</w:t>
      </w:r>
    </w:p>
    <w:p w14:paraId="2507CDEE">
      <w:pPr>
        <w:spacing w:line="360" w:lineRule="auto"/>
        <w:ind w:firstLine="480" w:firstLineChars="200"/>
        <w:rPr>
          <w:rFonts w:ascii="宋体" w:hAnsi="宋体" w:eastAsia="宋体"/>
          <w:sz w:val="24"/>
          <w:szCs w:val="24"/>
        </w:rPr>
      </w:pPr>
      <w:r>
        <w:rPr>
          <w:rFonts w:hint="eastAsia" w:ascii="宋体" w:hAnsi="宋体" w:eastAsia="宋体"/>
          <w:sz w:val="24"/>
          <w:szCs w:val="24"/>
        </w:rPr>
        <w:t>在改革开放前，中国的养老金制度具有明显的福利性质</w:t>
      </w:r>
      <w:r>
        <w:rPr>
          <w:rFonts w:hint="eastAsia" w:ascii="宋体" w:hAnsi="宋体" w:eastAsia="宋体"/>
          <w:sz w:val="24"/>
          <w:szCs w:val="24"/>
          <w:lang w:eastAsia="zh-CN"/>
        </w:rPr>
        <w:t>，</w:t>
      </w:r>
      <w:r>
        <w:rPr>
          <w:rFonts w:hint="eastAsia" w:ascii="宋体" w:hAnsi="宋体" w:eastAsia="宋体"/>
          <w:sz w:val="24"/>
          <w:szCs w:val="24"/>
          <w:lang w:val="en-US" w:eastAsia="zh-CN"/>
        </w:rPr>
        <w:t>且</w:t>
      </w:r>
      <w:r>
        <w:rPr>
          <w:rFonts w:hint="eastAsia" w:ascii="宋体" w:hAnsi="宋体" w:eastAsia="宋体"/>
          <w:sz w:val="24"/>
          <w:szCs w:val="24"/>
        </w:rPr>
        <w:t>制度覆盖范围较为有限，主要针对国家机关、事业单位及企业职工，而农民等其他社会成员并未被纳入养老保险体系。这一时期的养老金制度是单一层次的，工薪劳动者退休后的生活主要由国家负责，没有职业年金、商业性养老保险等多元化的养老保障项目。制度是非缴费型的，职工个人不承担任何社会保险费，退休金完全依赖于国家和单位的财政支持。养老金的发放采用的是现收现付模式，没有建立养老保险基金，仅依靠全国总工会和各级工会按照一定比率提取的调剂金，而这一调剂金在1966年之后也被取消</w:t>
      </w:r>
      <w:r>
        <w:rPr>
          <w:rStyle w:val="15"/>
          <w:rFonts w:hint="eastAsia" w:ascii="宋体" w:hAnsi="宋体" w:eastAsia="宋体"/>
          <w:sz w:val="24"/>
          <w:szCs w:val="24"/>
        </w:rPr>
        <w:footnoteReference w:id="3"/>
      </w:r>
      <w:r>
        <w:rPr>
          <w:rFonts w:hint="eastAsia" w:ascii="宋体" w:hAnsi="宋体" w:eastAsia="宋体"/>
          <w:sz w:val="24"/>
          <w:szCs w:val="24"/>
        </w:rPr>
        <w:t>。这些特点共同构成了改革开放前中国养老金制度的基本框架，反映了当时计划经济体制下的社会福利政策。</w:t>
      </w:r>
    </w:p>
    <w:p w14:paraId="79BEFC42">
      <w:pPr>
        <w:spacing w:line="360" w:lineRule="auto"/>
        <w:ind w:firstLine="560" w:firstLineChars="200"/>
        <w:rPr>
          <w:rFonts w:hint="eastAsia" w:ascii="黑体" w:hAnsi="黑体" w:eastAsia="黑体"/>
          <w:sz w:val="28"/>
          <w:szCs w:val="28"/>
          <w:lang w:val="en-US" w:eastAsia="zh-CN"/>
        </w:rPr>
      </w:pPr>
      <w:r>
        <w:rPr>
          <w:rFonts w:hint="eastAsia" w:ascii="黑体" w:hAnsi="黑体" w:eastAsia="黑体"/>
          <w:sz w:val="28"/>
          <w:szCs w:val="28"/>
        </w:rPr>
        <w:t>（二）改革开放初期养老金制度的初步调整</w:t>
      </w:r>
      <w:r>
        <w:rPr>
          <w:rFonts w:hint="eastAsia" w:ascii="黑体" w:hAnsi="黑体" w:eastAsia="黑体"/>
          <w:sz w:val="28"/>
          <w:szCs w:val="28"/>
          <w:lang w:val="en-US" w:eastAsia="zh-CN"/>
        </w:rPr>
        <w:t>与</w:t>
      </w:r>
      <w:r>
        <w:rPr>
          <w:rFonts w:hint="eastAsia" w:ascii="黑体" w:hAnsi="黑体" w:eastAsia="黑体"/>
          <w:sz w:val="28"/>
          <w:szCs w:val="28"/>
        </w:rPr>
        <w:t>1990年代养老金体制的改革与多层次体系的雏形</w:t>
      </w:r>
    </w:p>
    <w:p w14:paraId="6F71B113">
      <w:pPr>
        <w:spacing w:line="360" w:lineRule="auto"/>
        <w:ind w:firstLine="480" w:firstLineChars="200"/>
        <w:jc w:val="left"/>
        <w:rPr>
          <w:rFonts w:ascii="黑体" w:hAnsi="黑体" w:eastAsia="黑体"/>
          <w:sz w:val="28"/>
          <w:szCs w:val="28"/>
        </w:rPr>
      </w:pPr>
      <w:r>
        <w:rPr>
          <w:rFonts w:hint="eastAsia" w:ascii="宋体" w:hAnsi="宋体" w:eastAsia="宋体"/>
          <w:sz w:val="24"/>
          <w:szCs w:val="24"/>
        </w:rPr>
        <w:t>改革开放初期，中国的养老金制度开始从计划经济时期的国家主导型发展模式向市场经济转轨初期的社会化发展模式转变。这一时期的养老金制度改革，主要是为了适应经济体制的转型和社会结构的变化。在这一时期，养老金制度的整体转型旨在让企业卸下发放“退休费”的包袱，成为自负盈亏的市场主体；让个人不再单纯依靠家庭成员，将基于单个家庭的赡养关系转变为基于整体的代际赡养关系；让农民的生产资料不再成为其老年收入的唯一来源。此外，养老金制度的改革也体现了从被动适应性改革向主动谋划性改革的转变，开始主动谋划养老金制度的未来发展</w:t>
      </w:r>
      <w:r>
        <w:rPr>
          <w:rFonts w:hint="eastAsia" w:ascii="宋体" w:hAnsi="宋体" w:eastAsia="宋体"/>
          <w:sz w:val="24"/>
          <w:szCs w:val="24"/>
          <w:lang w:eastAsia="zh-CN"/>
        </w:rPr>
        <w:t>。</w:t>
      </w:r>
    </w:p>
    <w:p w14:paraId="686192B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在1990年代，中国的养老金体制经历了进一步的改革，开始形成多层次体系的雏形。这一时期，养老金制度的改革重点在于建立符合社会经济发展的养老金制度，实现了广覆盖和保基本的建制理念，并探索了克服人口老龄化危机的路径。改革的核心是建立真正的三支柱养老金体系：社会统筹账户作为第一支柱的公共养老金；划转国有资产做实个人账户基础上，与企业年金合并为第二支柱的职业年金；加快发展第三支柱的个人税延养老金计划。这一时期的改革为后续养老金制度的深化奠定了基础。</w:t>
      </w:r>
    </w:p>
    <w:p w14:paraId="58EADB30">
      <w:pPr>
        <w:spacing w:line="360" w:lineRule="auto"/>
        <w:ind w:firstLine="560" w:firstLineChars="200"/>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三</w:t>
      </w:r>
      <w:r>
        <w:rPr>
          <w:rFonts w:hint="eastAsia" w:ascii="黑体" w:hAnsi="黑体" w:eastAsia="黑体"/>
          <w:sz w:val="28"/>
          <w:szCs w:val="28"/>
        </w:rPr>
        <w:t>）21世纪养老金改革的深化与挑战</w:t>
      </w:r>
    </w:p>
    <w:p w14:paraId="5556366E">
      <w:pPr>
        <w:widowControl/>
        <w:spacing w:line="360" w:lineRule="auto"/>
        <w:ind w:firstLine="492" w:firstLineChars="200"/>
        <w:jc w:val="left"/>
        <w:rPr>
          <w:rFonts w:hint="eastAsia" w:ascii="宋体" w:hAnsi="宋体" w:eastAsia="宋体" w:cs="宋体"/>
          <w:spacing w:val="3"/>
          <w:kern w:val="0"/>
          <w:sz w:val="24"/>
          <w:szCs w:val="24"/>
        </w:rPr>
      </w:pPr>
      <w:r>
        <w:rPr>
          <w:rFonts w:hint="eastAsia" w:ascii="宋体" w:hAnsi="宋体" w:eastAsia="宋体" w:cs="宋体"/>
          <w:spacing w:val="3"/>
          <w:kern w:val="0"/>
          <w:sz w:val="24"/>
          <w:szCs w:val="24"/>
        </w:rPr>
        <w:t>21世纪初，中国养老金改革取得了显著的深化与成果。首先，在制度建设方面，中国实现了城乡居民基本养老保险制度的并轨，以及机关事业单位与企业职工养老保险制度的并轨，建立了城镇企业职工养老保险和城乡居民养老保险之间的转移衔接机制。这些改革举措标志着中国养老金制度从分散走向统一，增强了制度的公平性和可持续性。</w:t>
      </w:r>
    </w:p>
    <w:p w14:paraId="1922B52E">
      <w:pPr>
        <w:widowControl/>
        <w:spacing w:line="360" w:lineRule="auto"/>
        <w:ind w:firstLine="492" w:firstLineChars="200"/>
        <w:jc w:val="left"/>
        <w:rPr>
          <w:rFonts w:hint="eastAsia" w:ascii="宋体" w:hAnsi="宋体" w:eastAsia="宋体" w:cs="宋体"/>
          <w:spacing w:val="3"/>
          <w:kern w:val="0"/>
          <w:sz w:val="24"/>
          <w:szCs w:val="24"/>
        </w:rPr>
      </w:pPr>
      <w:r>
        <w:rPr>
          <w:rFonts w:hint="eastAsia" w:ascii="宋体" w:hAnsi="宋体" w:eastAsia="宋体" w:cs="宋体"/>
          <w:spacing w:val="3"/>
          <w:kern w:val="0"/>
          <w:sz w:val="24"/>
          <w:szCs w:val="24"/>
        </w:rPr>
        <w:t>中国养老金改革在应对人口老龄化问题上也展现出了前瞻性。通过建立多支柱养老金体系，包括基本养老金制度、企业年金和职业年金计划，以及即将实施的个人税延养老保险计划，中国为应对老龄化危机提供了多元化的解决方案。这些改革成果不仅提升了养老金制度的覆盖面和保障水平，也为中国经济的稳定发展和老年人口的生活质量提供了坚实的保障。</w:t>
      </w:r>
    </w:p>
    <w:p w14:paraId="4DABA364">
      <w:pPr>
        <w:spacing w:line="360" w:lineRule="auto"/>
        <w:ind w:firstLine="640" w:firstLineChars="20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当前养老金制度面临的挑战</w:t>
      </w:r>
    </w:p>
    <w:p w14:paraId="1F1F3B04">
      <w:pPr>
        <w:numPr>
          <w:ilvl w:val="0"/>
          <w:numId w:val="1"/>
        </w:numPr>
        <w:spacing w:line="360" w:lineRule="auto"/>
        <w:ind w:firstLine="560" w:firstLineChars="200"/>
        <w:rPr>
          <w:rFonts w:hint="eastAsia" w:ascii="黑体" w:hAnsi="黑体" w:eastAsia="黑体"/>
          <w:sz w:val="28"/>
          <w:szCs w:val="28"/>
          <w:lang w:val="en-US" w:eastAsia="zh-CN"/>
        </w:rPr>
      </w:pPr>
      <w:r>
        <w:rPr>
          <w:rFonts w:hint="eastAsia" w:ascii="黑体" w:hAnsi="黑体" w:eastAsia="黑体"/>
          <w:sz w:val="28"/>
          <w:szCs w:val="28"/>
        </w:rPr>
        <w:t>人口老龄化</w:t>
      </w:r>
      <w:r>
        <w:rPr>
          <w:rFonts w:hint="eastAsia" w:ascii="黑体" w:hAnsi="黑体" w:eastAsia="黑体"/>
          <w:sz w:val="28"/>
          <w:szCs w:val="28"/>
          <w:lang w:val="en-US" w:eastAsia="zh-CN"/>
        </w:rPr>
        <w:t>日益加剧</w:t>
      </w:r>
    </w:p>
    <w:p w14:paraId="31654D99">
      <w:pPr>
        <w:widowControl w:val="0"/>
        <w:numPr>
          <w:ilvl w:val="0"/>
          <w:numId w:val="0"/>
        </w:numPr>
        <w:spacing w:line="360" w:lineRule="auto"/>
        <w:jc w:val="both"/>
      </w:pPr>
      <w:r>
        <w:drawing>
          <wp:inline distT="0" distB="0" distL="114300" distR="114300">
            <wp:extent cx="3107055" cy="174434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07055" cy="1744345"/>
                    </a:xfrm>
                    <a:prstGeom prst="rect">
                      <a:avLst/>
                    </a:prstGeom>
                    <a:noFill/>
                    <a:ln>
                      <a:noFill/>
                    </a:ln>
                  </pic:spPr>
                </pic:pic>
              </a:graphicData>
            </a:graphic>
          </wp:inline>
        </w:drawing>
      </w:r>
    </w:p>
    <w:p w14:paraId="08A45F20">
      <w:pPr>
        <w:widowControl w:val="0"/>
        <w:numPr>
          <w:ilvl w:val="0"/>
          <w:numId w:val="0"/>
        </w:numPr>
        <w:spacing w:line="360" w:lineRule="auto"/>
        <w:jc w:val="both"/>
        <w:rPr>
          <w:rFonts w:hint="default"/>
          <w:lang w:val="en-US" w:eastAsia="zh-CN"/>
        </w:rPr>
      </w:pPr>
      <w:r>
        <w:rPr>
          <w:rFonts w:hint="default"/>
          <w:lang w:val="en-US" w:eastAsia="zh-CN"/>
        </w:rPr>
        <w:t>中国 65 周岁及以上人口数量及占总人口比重的变化趋势</w:t>
      </w:r>
      <w:r>
        <w:rPr>
          <w:rStyle w:val="15"/>
          <w:rFonts w:hint="default"/>
          <w:lang w:val="en-US" w:eastAsia="zh-CN"/>
        </w:rPr>
        <w:footnoteReference w:id="4"/>
      </w:r>
    </w:p>
    <w:p w14:paraId="386BF9D6">
      <w:pPr>
        <w:widowControl w:val="0"/>
        <w:numPr>
          <w:ilvl w:val="0"/>
          <w:numId w:val="0"/>
        </w:numPr>
        <w:spacing w:line="360" w:lineRule="auto"/>
        <w:jc w:val="both"/>
        <w:rPr>
          <w:rFonts w:hint="default"/>
          <w:lang w:val="en-US" w:eastAsia="zh-CN"/>
        </w:rPr>
      </w:pPr>
    </w:p>
    <w:p w14:paraId="50F3A605">
      <w:pPr>
        <w:pStyle w:val="18"/>
        <w:spacing w:line="360" w:lineRule="auto"/>
        <w:ind w:firstLine="480"/>
        <w:rPr>
          <w:rFonts w:hint="eastAsia" w:ascii="宋体" w:hAnsi="宋体" w:eastAsia="宋体"/>
          <w:sz w:val="24"/>
          <w:szCs w:val="24"/>
        </w:rPr>
      </w:pPr>
      <w:r>
        <w:rPr>
          <w:rFonts w:hint="eastAsia" w:ascii="宋体" w:hAnsi="宋体" w:eastAsia="宋体"/>
          <w:sz w:val="24"/>
          <w:szCs w:val="24"/>
        </w:rPr>
        <w:t>人口老龄化作为中国未来较长一段时期的基本国情，对养老金制度构成了严峻挑战。自2000年我国正式步入老龄化国家行列以来，65岁及以上人口数量持续增长。截至2018年底，该年龄段人口已达1.67亿，占总人口的11.9%，较2000年上升了近五个百分点。联合国《世界人口展望2019》预测，中国总人口将在2030年前后达到峰值，随后开始下降，而65岁及以上老年人口将继续增加，并在2060年前后达到峰值</w:t>
      </w:r>
      <w:r>
        <w:rPr>
          <w:rStyle w:val="15"/>
          <w:rFonts w:hint="eastAsia" w:ascii="宋体" w:hAnsi="宋体" w:eastAsia="宋体"/>
          <w:sz w:val="24"/>
          <w:szCs w:val="24"/>
        </w:rPr>
        <w:footnoteReference w:id="5"/>
      </w:r>
      <w:r>
        <w:rPr>
          <w:rFonts w:hint="eastAsia" w:ascii="宋体" w:hAnsi="宋体" w:eastAsia="宋体"/>
          <w:sz w:val="24"/>
          <w:szCs w:val="24"/>
        </w:rPr>
        <w:t>。即便在此之后，老年人口数量有所下降，其占比仍将在31%左右，维持在相对高位。这表明21世纪中叶前后，中国并非迎来人口老龄化的单一高峰，而是进入了一个长期的老龄化高原期。随着老年人口的增加，养老金的支付需求日益增加，而劳动年龄人口的减少则意味着养老金收入的减少，这将加剧养老金的收支不平衡。这一趋势不仅预示着老年人口数量的增加，也暗示着养老金支付需求的不断上升，对养老金制度的财务可持续性构成压力。</w:t>
      </w:r>
    </w:p>
    <w:p w14:paraId="7F1E5C70">
      <w:pPr>
        <w:numPr>
          <w:ilvl w:val="0"/>
          <w:numId w:val="1"/>
        </w:numPr>
        <w:spacing w:line="360" w:lineRule="auto"/>
        <w:ind w:firstLine="560" w:firstLineChars="200"/>
        <w:rPr>
          <w:rFonts w:hint="eastAsia" w:ascii="宋体" w:hAnsi="宋体" w:eastAsia="宋体"/>
          <w:sz w:val="24"/>
          <w:szCs w:val="24"/>
        </w:rPr>
      </w:pPr>
      <w:r>
        <w:rPr>
          <w:rFonts w:hint="eastAsia" w:ascii="黑体" w:hAnsi="黑体" w:eastAsia="黑体"/>
          <w:sz w:val="28"/>
          <w:szCs w:val="28"/>
          <w:lang w:val="en-US" w:eastAsia="zh-CN"/>
        </w:rPr>
        <w:t>劳动年龄人口逐年减少</w:t>
      </w:r>
    </w:p>
    <w:p w14:paraId="160F03A8">
      <w:pPr>
        <w:pStyle w:val="18"/>
        <w:spacing w:line="360" w:lineRule="auto"/>
        <w:ind w:firstLine="480"/>
        <w:rPr>
          <w:rFonts w:hint="eastAsia" w:ascii="宋体" w:hAnsi="宋体" w:eastAsia="宋体"/>
          <w:sz w:val="24"/>
          <w:szCs w:val="24"/>
        </w:rPr>
      </w:pPr>
      <w:r>
        <w:rPr>
          <w:rFonts w:hint="eastAsia" w:ascii="宋体" w:hAnsi="宋体" w:eastAsia="宋体"/>
          <w:sz w:val="24"/>
          <w:szCs w:val="24"/>
        </w:rPr>
        <w:t>劳动年龄人口的减少是人口老龄化带来的直接影响之一，这直接影响到养老金的收入来源。自2012年起，中国的劳动年龄人口数量和占总人口比重连续多年出现下降</w:t>
      </w:r>
      <w:r>
        <w:rPr>
          <w:rStyle w:val="15"/>
          <w:rFonts w:hint="eastAsia" w:ascii="宋体" w:hAnsi="宋体" w:eastAsia="宋体"/>
          <w:sz w:val="24"/>
          <w:szCs w:val="24"/>
        </w:rPr>
        <w:footnoteReference w:id="6"/>
      </w:r>
      <w:r>
        <w:rPr>
          <w:rFonts w:hint="eastAsia" w:ascii="宋体" w:hAnsi="宋体" w:eastAsia="宋体"/>
          <w:sz w:val="24"/>
          <w:szCs w:val="24"/>
        </w:rPr>
        <w:t>，这一变化导致养老金的收入增速放缓、支出增速加快。随着人口抚养比的逐年上升，养老金制度面临更大的财务压力，在职人员的经济负担加重，养老金制度的可持续性受到挑战。</w:t>
      </w:r>
    </w:p>
    <w:p w14:paraId="33E026BA">
      <w:pPr>
        <w:numPr>
          <w:ilvl w:val="0"/>
          <w:numId w:val="1"/>
        </w:numPr>
        <w:spacing w:line="360" w:lineRule="auto"/>
        <w:ind w:firstLine="560" w:firstLineChars="200"/>
        <w:rPr>
          <w:rFonts w:hint="eastAsia" w:ascii="宋体" w:hAnsi="宋体" w:eastAsia="宋体"/>
          <w:sz w:val="24"/>
          <w:szCs w:val="24"/>
        </w:rPr>
      </w:pPr>
      <w:r>
        <w:rPr>
          <w:rFonts w:hint="eastAsia" w:ascii="黑体" w:hAnsi="黑体" w:eastAsia="黑体"/>
          <w:sz w:val="28"/>
          <w:szCs w:val="28"/>
          <w:lang w:val="en-US" w:eastAsia="zh-CN"/>
        </w:rPr>
        <w:t>地区间养老保险基金结余差异与挑战</w:t>
      </w:r>
    </w:p>
    <w:p w14:paraId="0189030F">
      <w:pPr>
        <w:pStyle w:val="18"/>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rPr>
        <w:t>地区间养老保险基金结余的差别极大，地区发展不平衡的问题也日益凸显。这种不平衡不仅体现在经济发展水平上，也体现在养老保险基金的管理和使用上。一些地区可能面临养老金支付不足的风险，而其他地区则存在基金结余过多的情况。</w:t>
      </w:r>
    </w:p>
    <w:p w14:paraId="5F58C881">
      <w:pPr>
        <w:pStyle w:val="18"/>
        <w:spacing w:line="360" w:lineRule="auto"/>
        <w:ind w:firstLine="480"/>
      </w:pPr>
      <w:r>
        <w:drawing>
          <wp:inline distT="0" distB="0" distL="114300" distR="114300">
            <wp:extent cx="3724275" cy="55245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3724275" cy="5524500"/>
                    </a:xfrm>
                    <a:prstGeom prst="rect">
                      <a:avLst/>
                    </a:prstGeom>
                    <a:noFill/>
                    <a:ln>
                      <a:noFill/>
                    </a:ln>
                  </pic:spPr>
                </pic:pic>
              </a:graphicData>
            </a:graphic>
          </wp:inline>
        </w:drawing>
      </w:r>
    </w:p>
    <w:p w14:paraId="76E12BB2">
      <w:pPr>
        <w:pStyle w:val="18"/>
        <w:spacing w:line="360" w:lineRule="auto"/>
        <w:ind w:firstLine="480"/>
      </w:pPr>
      <w:r>
        <w:rPr>
          <w:rFonts w:hint="eastAsia"/>
          <w:lang w:val="en-US" w:eastAsia="zh-CN"/>
        </w:rPr>
        <w:t xml:space="preserve">  </w:t>
      </w:r>
      <w:r>
        <w:drawing>
          <wp:inline distT="0" distB="0" distL="114300" distR="114300">
            <wp:extent cx="3486150" cy="33337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3486150" cy="333375"/>
                    </a:xfrm>
                    <a:prstGeom prst="rect">
                      <a:avLst/>
                    </a:prstGeom>
                    <a:noFill/>
                    <a:ln>
                      <a:noFill/>
                    </a:ln>
                  </pic:spPr>
                </pic:pic>
              </a:graphicData>
            </a:graphic>
          </wp:inline>
        </w:drawing>
      </w:r>
    </w:p>
    <w:p w14:paraId="03D3BC93">
      <w:pPr>
        <w:pStyle w:val="18"/>
        <w:spacing w:line="360" w:lineRule="auto"/>
        <w:ind w:left="0" w:leftChars="0" w:firstLine="0" w:firstLineChars="0"/>
        <w:rPr>
          <w:rFonts w:hint="default" w:eastAsiaTheme="minorEastAsia"/>
          <w:lang w:val="en-US" w:eastAsia="zh-CN"/>
        </w:rPr>
      </w:pPr>
      <w:r>
        <w:rPr>
          <w:rFonts w:hint="eastAsia"/>
          <w:lang w:val="en-US" w:eastAsia="zh-CN"/>
        </w:rPr>
        <w:t xml:space="preserve">    从表中数据可以看出，经济发展水平较高的区域对城乡居民社会养老保险累计结余产生了高度正相关的显著性影响</w:t>
      </w:r>
      <w:r>
        <w:rPr>
          <w:rStyle w:val="15"/>
          <w:rFonts w:hint="eastAsia"/>
          <w:lang w:val="en-US" w:eastAsia="zh-CN"/>
        </w:rPr>
        <w:footnoteReference w:id="7"/>
      </w:r>
      <w:r>
        <w:rPr>
          <w:rFonts w:hint="eastAsia"/>
          <w:lang w:val="en-US" w:eastAsia="zh-CN"/>
        </w:rPr>
        <w:t xml:space="preserve">，这对于经济欠发达地区的养老金支付产生了巨大压力巨大，对当地财政支出和经济发展带来了较大的影响。这种不平衡对养老金制度的整体稳定性和公平性提出了更高的要求。 </w:t>
      </w:r>
    </w:p>
    <w:p w14:paraId="040E0AE3">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四、中国养老金制度中的“守正”</w:t>
      </w:r>
    </w:p>
    <w:p w14:paraId="79A71149">
      <w:pPr>
        <w:numPr>
          <w:ilvl w:val="0"/>
          <w:numId w:val="0"/>
        </w:numPr>
        <w:spacing w:line="360" w:lineRule="auto"/>
        <w:ind w:firstLine="480" w:firstLineChars="200"/>
        <w:rPr>
          <w:rFonts w:hint="eastAsia" w:ascii="宋体" w:hAnsi="宋体" w:eastAsia="宋体" w:cstheme="minorBidi"/>
          <w:kern w:val="2"/>
          <w:sz w:val="24"/>
          <w:szCs w:val="24"/>
          <w:lang w:val="en-US" w:eastAsia="zh-CN" w:bidi="ar-SA"/>
          <w14:ligatures w14:val="standardContextual"/>
        </w:rPr>
      </w:pPr>
      <w:r>
        <w:rPr>
          <w:rFonts w:hint="eastAsia" w:ascii="宋体" w:hAnsi="宋体" w:eastAsia="宋体" w:cstheme="minorBidi"/>
          <w:kern w:val="2"/>
          <w:sz w:val="24"/>
          <w:szCs w:val="24"/>
          <w:lang w:val="en-US" w:eastAsia="zh-CN" w:bidi="ar-SA"/>
          <w14:ligatures w14:val="standardContextual"/>
        </w:rPr>
        <w:t>中国养老金制度经历了多次改革与调整，始终保持着对公平、稳定与可持续性原则的坚守。在过去几十年的发展历程中，尽管外部环境发生了显著变化，但中国养老金制度的核心价值和发展规律未曾动摇。本文将从三个方面探讨养老金制度中的“守正”之道，即坚持公平价值取向与互助共济的制度发展规律、坚持养老保险制度的相对稳定性与多层次体系建设，以及坚持以人为本的核心价值理念。</w:t>
      </w:r>
    </w:p>
    <w:p w14:paraId="0ABB649E">
      <w:pPr>
        <w:pStyle w:val="8"/>
        <w:spacing w:before="240" w:beforeAutospacing="0" w:after="240" w:afterAutospacing="0" w:line="360" w:lineRule="auto"/>
        <w:ind w:firstLine="560" w:firstLineChars="200"/>
        <w:jc w:val="both"/>
        <w:rPr>
          <w:rFonts w:ascii="黑体" w:hAnsi="黑体" w:eastAsia="黑体"/>
          <w:sz w:val="28"/>
          <w:szCs w:val="28"/>
        </w:rPr>
      </w:pPr>
      <w:r>
        <w:rPr>
          <w:rFonts w:hint="eastAsia" w:ascii="黑体" w:hAnsi="黑体" w:eastAsia="黑体"/>
          <w:sz w:val="28"/>
          <w:szCs w:val="28"/>
        </w:rPr>
        <w:t>（一）坚持公平价值取向和互助共济的制度发展规律</w:t>
      </w:r>
    </w:p>
    <w:p w14:paraId="437CA476">
      <w:pPr>
        <w:pStyle w:val="8"/>
        <w:spacing w:before="240" w:beforeAutospacing="0" w:after="240" w:afterAutospacing="0" w:line="360" w:lineRule="auto"/>
        <w:ind w:firstLine="480" w:firstLineChars="200"/>
        <w:jc w:val="both"/>
      </w:pPr>
      <w:r>
        <w:rPr>
          <w:rFonts w:hint="eastAsia"/>
        </w:rPr>
        <w:t>中国养老金制度的本质是代际互助，用群体的力量来应对个人风险的长期制度安排。这一点在制度设计和改革中始终被强调和坚持。中国养老金制度积累了弥足珍贵的改革经验，包括试点先行、渐进改革，在逐步化解历史负担的条件下实现新旧制度的平稳转型。互助共济是社会保障的天然属性，通过财政预算或征收社会保险费等途径筹集社会保障资金，按照一定规则向特定社会成员提供资金或服务，确保社会成员的基本生活和基本尊严</w:t>
      </w:r>
      <w:r>
        <w:rPr>
          <w:rFonts w:hint="eastAsia"/>
          <w:lang w:eastAsia="zh-CN"/>
        </w:rPr>
        <w:t>。</w:t>
      </w:r>
      <w:r>
        <w:rPr>
          <w:rFonts w:hint="eastAsia"/>
        </w:rPr>
        <w:t xml:space="preserve"> </w:t>
      </w:r>
    </w:p>
    <w:p w14:paraId="12B56907">
      <w:pPr>
        <w:ind w:firstLine="560" w:firstLineChars="200"/>
        <w:jc w:val="left"/>
        <w:rPr>
          <w:rFonts w:ascii="黑体" w:hAnsi="黑体" w:eastAsia="黑体"/>
          <w:sz w:val="28"/>
          <w:szCs w:val="28"/>
        </w:rPr>
      </w:pPr>
      <w:r>
        <w:rPr>
          <w:rFonts w:hint="eastAsia" w:ascii="黑体" w:hAnsi="黑体" w:eastAsia="黑体"/>
          <w:sz w:val="28"/>
          <w:szCs w:val="28"/>
        </w:rPr>
        <w:t>（二）坚持养老保险制度的相对稳定性和多层次体系的建设</w:t>
      </w:r>
    </w:p>
    <w:p w14:paraId="4C2D507A">
      <w:pPr>
        <w:spacing w:line="360" w:lineRule="auto"/>
        <w:ind w:firstLine="480" w:firstLineChars="200"/>
        <w:rPr>
          <w:rFonts w:ascii="宋体" w:hAnsi="宋体" w:eastAsia="宋体"/>
          <w:sz w:val="24"/>
          <w:szCs w:val="24"/>
        </w:rPr>
      </w:pPr>
      <w:r>
        <w:rPr>
          <w:rFonts w:hint="eastAsia" w:ascii="宋体" w:hAnsi="宋体" w:eastAsia="宋体"/>
          <w:sz w:val="24"/>
          <w:szCs w:val="24"/>
        </w:rPr>
        <w:t>中国养老金制度避免颠覆性的改革举措，通过参数调整来实现制度的财务可持续性，而不是进行根本性的制度模式变革。同时，建立责任分担的多层次养老金体系，以应对人口老龄化，实现制度可持续性。我国已经建成了世界上最大规模、覆盖10亿多人口的养老金制度体系，彰显了以人民为本的执政理念。多层次养老保险体系包含三大支柱，其中第一支柱基本养老保险由政府主导；第二支柱即企业年金和职业年金；第三支柱为个人储蓄性养老保险和商业养老保险</w:t>
      </w:r>
      <w:r>
        <w:rPr>
          <w:rStyle w:val="15"/>
          <w:rFonts w:hint="eastAsia" w:ascii="宋体" w:hAnsi="宋体" w:eastAsia="宋体"/>
          <w:sz w:val="24"/>
          <w:szCs w:val="24"/>
        </w:rPr>
        <w:footnoteReference w:id="8"/>
      </w:r>
      <w:r>
        <w:rPr>
          <w:rFonts w:hint="eastAsia" w:ascii="宋体" w:hAnsi="宋体" w:eastAsia="宋体"/>
          <w:sz w:val="24"/>
          <w:szCs w:val="24"/>
        </w:rPr>
        <w:t>。</w:t>
      </w:r>
    </w:p>
    <w:p w14:paraId="1D81EDE6">
      <w:pPr>
        <w:pStyle w:val="8"/>
        <w:spacing w:before="240" w:beforeAutospacing="0" w:after="240" w:afterAutospacing="0" w:line="360" w:lineRule="auto"/>
        <w:ind w:firstLine="560" w:firstLineChars="200"/>
        <w:jc w:val="both"/>
        <w:rPr>
          <w:rFonts w:ascii="黑体" w:hAnsi="黑体" w:eastAsia="黑体"/>
          <w:sz w:val="28"/>
          <w:szCs w:val="28"/>
        </w:rPr>
      </w:pPr>
      <w:r>
        <w:rPr>
          <w:rFonts w:hint="eastAsia" w:ascii="黑体" w:hAnsi="黑体" w:eastAsia="黑体"/>
          <w:sz w:val="28"/>
          <w:szCs w:val="28"/>
        </w:rPr>
        <w:t>（三）坚持以人为本的核心价值理念</w:t>
      </w:r>
    </w:p>
    <w:p w14:paraId="3993C588">
      <w:pPr>
        <w:pStyle w:val="8"/>
        <w:spacing w:before="240" w:beforeAutospacing="0" w:after="240" w:afterAutospacing="0" w:line="360" w:lineRule="auto"/>
        <w:ind w:firstLine="480" w:firstLineChars="200"/>
        <w:jc w:val="both"/>
      </w:pPr>
      <w:r>
        <w:rPr>
          <w:rFonts w:hint="eastAsia"/>
        </w:rPr>
        <w:t>中国养老金制度在不同的经济发展阶段，根据人民物质生活条件和民生诉求的变化，采取相应的政策安排和建构模式。这一点体现在制度规模的持续扩大和制度结构的日趋成熟上。从1949年至1983年，中国养老保险制度以平均主义为原则，建立了社会化养老保险制度，低水平和广覆盖成为这一时期养老保险制度的主要特征。随着社会的发展，中国养老保险制度逐步从国家保障制下的单一层次走向多主体广泛参与的多层次体系，实现了从少数“单位人”的非缴费型“专利”走向全体“社会人”的缴费型权利。</w:t>
      </w:r>
    </w:p>
    <w:p w14:paraId="34DF4C69">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五、中国养老金制度中的“创新”</w:t>
      </w:r>
    </w:p>
    <w:p w14:paraId="245D0BCF">
      <w:pPr>
        <w:pStyle w:val="18"/>
        <w:spacing w:line="360" w:lineRule="auto"/>
        <w:ind w:firstLine="480"/>
        <w:jc w:val="left"/>
        <w:rPr>
          <w:rFonts w:ascii="宋体" w:hAnsi="宋体" w:eastAsia="宋体"/>
          <w:sz w:val="24"/>
          <w:szCs w:val="24"/>
        </w:rPr>
      </w:pPr>
      <w:r>
        <w:rPr>
          <w:rFonts w:hint="eastAsia" w:ascii="宋体" w:hAnsi="宋体" w:eastAsia="宋体" w:cs="Arial"/>
          <w:sz w:val="24"/>
          <w:szCs w:val="24"/>
        </w:rPr>
        <w:t>随着人口老龄化的加剧，中国养老金制度面临着巨大的挑战，亟需在保障老年人基本生活的同时，确保制度的可持续性与灵活性。在这一背景下，养老金制度的创新已成为提升养老保障水平的重要途径。从个人养老金制度的构建到金融科技在养老金融领域的应用，创新不仅有助于解决现有制度的瓶颈问题，还能够为未来养老保障体系提供更加多元化、灵活化的发展路径。</w:t>
      </w:r>
    </w:p>
    <w:p w14:paraId="0B806B77">
      <w:pPr>
        <w:pStyle w:val="8"/>
        <w:spacing w:before="240" w:beforeAutospacing="0" w:after="240" w:afterAutospacing="0" w:line="360" w:lineRule="auto"/>
        <w:ind w:firstLine="560" w:firstLineChars="200"/>
        <w:jc w:val="both"/>
        <w:rPr>
          <w:rFonts w:hint="default" w:ascii="黑体" w:hAnsi="黑体" w:eastAsia="黑体"/>
          <w:sz w:val="28"/>
          <w:szCs w:val="28"/>
          <w:lang w:val="en-US" w:eastAsia="zh-CN"/>
        </w:rPr>
      </w:pPr>
      <w:r>
        <w:rPr>
          <w:rFonts w:hint="eastAsia" w:ascii="黑体" w:hAnsi="黑体" w:eastAsia="黑体"/>
          <w:sz w:val="28"/>
          <w:szCs w:val="28"/>
        </w:rPr>
        <w:t>（一）</w:t>
      </w:r>
      <w:r>
        <w:rPr>
          <w:rFonts w:hint="eastAsia" w:ascii="黑体" w:hAnsi="黑体" w:eastAsia="黑体"/>
          <w:sz w:val="28"/>
          <w:szCs w:val="28"/>
          <w:lang w:val="en-US" w:eastAsia="zh-CN"/>
        </w:rPr>
        <w:t>个人养老金制度</w:t>
      </w:r>
    </w:p>
    <w:p w14:paraId="5F0DE363">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eastAsia="zh-CN"/>
        </w:rPr>
        <w:t>个人养老金制度的启动实施标志着中国多层次多支柱养老保险体系建设的重要一步。2022年11月，个人养老金制度在36个城市（地区）先行实施。经过两年的先行试点</w:t>
      </w:r>
      <w:r>
        <w:rPr>
          <w:rStyle w:val="15"/>
          <w:rFonts w:hint="eastAsia" w:ascii="宋体" w:hAnsi="宋体" w:eastAsia="宋体"/>
          <w:sz w:val="24"/>
          <w:szCs w:val="24"/>
          <w:lang w:eastAsia="zh-CN"/>
        </w:rPr>
        <w:footnoteReference w:id="9"/>
      </w:r>
      <w:r>
        <w:rPr>
          <w:rFonts w:hint="eastAsia" w:ascii="宋体" w:hAnsi="宋体" w:eastAsia="宋体"/>
          <w:sz w:val="24"/>
          <w:szCs w:val="24"/>
          <w:lang w:eastAsia="zh-CN"/>
        </w:rPr>
        <w:t>，制度总体运行平稳，并取得了积极成效。2024年12月15日起，个人养老金制度在全国范围内正式实施，这标志着我国多层次、多支柱养老保障体系进一步完善</w:t>
      </w:r>
      <w:r>
        <w:rPr>
          <w:rStyle w:val="15"/>
          <w:rFonts w:hint="eastAsia" w:ascii="宋体" w:hAnsi="宋体" w:eastAsia="宋体"/>
          <w:sz w:val="24"/>
          <w:szCs w:val="24"/>
          <w:lang w:eastAsia="zh-CN"/>
        </w:rPr>
        <w:footnoteReference w:id="10"/>
      </w:r>
      <w:r>
        <w:rPr>
          <w:rFonts w:hint="eastAsia" w:ascii="宋体" w:hAnsi="宋体" w:eastAsia="宋体"/>
          <w:sz w:val="24"/>
          <w:szCs w:val="24"/>
          <w:lang w:eastAsia="zh-CN"/>
        </w:rPr>
        <w:t>。</w:t>
      </w:r>
      <w:r>
        <w:rPr>
          <w:rFonts w:hint="eastAsia" w:ascii="宋体" w:hAnsi="宋体" w:eastAsia="宋体"/>
          <w:sz w:val="24"/>
          <w:szCs w:val="24"/>
        </w:rPr>
        <w:t xml:space="preserve"> </w:t>
      </w:r>
    </w:p>
    <w:p w14:paraId="5DCD269F">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个人养老金制度是一项政府政策支持、个人自愿参加、市场化运营的补充养老保险制度。其核心在于为个人提供额外的养老储蓄渠道，通过税收优惠等政策激励，鼓励个人为退休后的生活进行额外的财务准备。个人养老金账户模式是其特色之一，为参加人建立唯一的个人养老金账户，权益直观，适应流动，开立账户简便，税收优惠直接，领取方式灵活</w:t>
      </w:r>
      <w:r>
        <w:rPr>
          <w:rFonts w:hint="eastAsia" w:ascii="宋体" w:hAnsi="宋体" w:eastAsia="宋体"/>
          <w:sz w:val="24"/>
          <w:szCs w:val="24"/>
          <w:lang w:eastAsia="zh-CN"/>
        </w:rPr>
        <w:t>。</w:t>
      </w:r>
    </w:p>
    <w:p w14:paraId="30344351">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目前，个人养老金制度已经从先行试点城市推向全国，实现了制度的全面覆盖。产品供给得到优化，将国债、特定养老储蓄、指数基金纳入个人养老金产品范围，同时，金融机构依法依规开展投资咨询服务，探索开展默认投资服务，并加强对金融消费者的保护。此外，个人养老金制度在灵活性方面有了重大突破，增加了提前领取的情形，如参加人患重大疾病或领取失业保险金达到一定条件时，可申请提前领取个人养老金。管理服务水平进一步提高，审慎确定开办个人养老金业务的商业银行范围，鼓励其销售全类型个人养老金产品，并健全线上线下服务渠道，为参加人提供更多个性化服务。</w:t>
      </w:r>
    </w:p>
    <w:p w14:paraId="17800EB2">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如图可见，我国公募养老基金规模逐年提升</w:t>
      </w:r>
      <w:r>
        <w:rPr>
          <w:rStyle w:val="15"/>
          <w:rFonts w:hint="eastAsia" w:ascii="宋体" w:hAnsi="宋体" w:eastAsia="宋体"/>
          <w:sz w:val="24"/>
          <w:szCs w:val="24"/>
          <w:lang w:val="en-US" w:eastAsia="zh-CN"/>
        </w:rPr>
        <w:footnoteReference w:id="11"/>
      </w:r>
      <w:r>
        <w:rPr>
          <w:rFonts w:hint="eastAsia" w:ascii="宋体" w:hAnsi="宋体" w:eastAsia="宋体"/>
          <w:sz w:val="24"/>
          <w:szCs w:val="24"/>
          <w:lang w:val="en-US" w:eastAsia="zh-CN"/>
        </w:rPr>
        <w:t>，不仅为中国广大劳动者提供了更加坚实的养老保障，同时也为金融机构带来了新的发展机遇，促使其围绕人民群众全生命周期多样化的养老金融需求，构建差异化、多元化产品体系，提供特色化、品质化综合服务。</w:t>
      </w:r>
    </w:p>
    <w:p w14:paraId="59321828">
      <w:pPr>
        <w:pStyle w:val="8"/>
        <w:spacing w:before="240" w:beforeAutospacing="0" w:after="240" w:afterAutospacing="0" w:line="360" w:lineRule="auto"/>
        <w:ind w:firstLine="480" w:firstLineChars="200"/>
        <w:jc w:val="left"/>
        <w:rPr>
          <w:rFonts w:hint="eastAsia"/>
        </w:rPr>
      </w:pPr>
      <w:r>
        <w:drawing>
          <wp:inline distT="0" distB="0" distL="114300" distR="114300">
            <wp:extent cx="4844415" cy="1892935"/>
            <wp:effectExtent l="0" t="0" r="381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844415" cy="1892935"/>
                    </a:xfrm>
                    <a:prstGeom prst="rect">
                      <a:avLst/>
                    </a:prstGeom>
                    <a:noFill/>
                    <a:ln>
                      <a:noFill/>
                    </a:ln>
                  </pic:spPr>
                </pic:pic>
              </a:graphicData>
            </a:graphic>
          </wp:inline>
        </w:drawing>
      </w:r>
    </w:p>
    <w:p w14:paraId="34A85EAA">
      <w:pPr>
        <w:pStyle w:val="8"/>
        <w:spacing w:before="240" w:beforeAutospacing="0" w:after="240" w:afterAutospacing="0" w:line="360" w:lineRule="auto"/>
        <w:ind w:firstLine="560" w:firstLineChars="200"/>
        <w:jc w:val="both"/>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二</w:t>
      </w:r>
      <w:r>
        <w:rPr>
          <w:rFonts w:hint="eastAsia" w:ascii="黑体" w:hAnsi="黑体" w:eastAsia="黑体"/>
          <w:sz w:val="28"/>
          <w:szCs w:val="28"/>
        </w:rPr>
        <w:t>）金融科技在养老金融中的应用</w:t>
      </w:r>
    </w:p>
    <w:p w14:paraId="4A4BD18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金融科技在养老金融领域的应用，正成为缓解人口老龄化压力的关键路径。金融科技通过促进养老产业金融转型升级、突破养老服务金融时空限制以及提升养老金金融保障专业性，展现了其在养老金融中的重要赋能作用</w:t>
      </w:r>
      <w:r>
        <w:rPr>
          <w:rStyle w:val="15"/>
          <w:rFonts w:hint="eastAsia" w:ascii="宋体" w:hAnsi="宋体" w:eastAsia="宋体"/>
          <w:sz w:val="24"/>
          <w:szCs w:val="24"/>
        </w:rPr>
        <w:footnoteReference w:id="12"/>
      </w:r>
      <w:r>
        <w:rPr>
          <w:rFonts w:hint="eastAsia" w:ascii="宋体" w:hAnsi="宋体" w:eastAsia="宋体"/>
          <w:sz w:val="24"/>
          <w:szCs w:val="24"/>
        </w:rPr>
        <w:t>。</w:t>
      </w:r>
    </w:p>
    <w:p w14:paraId="63FF95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养老产业金融方面，金融科技的应用使得养老机构能够广泛对接第三方合作伙伴，如金融机构、互联网科技公司，借助其渠道优势、技术优势和专业优势，弥补养老机构资金不足的困境，形成共赢互利的金融生态圈。例如，光大养老整合内外部资源发布的“颐享阳光·健康养老生态圈”，涵盖了养老社区、养老测算等七大功能场景，有效提升了老年人服务体验，实现了养老金融业务的线上线下协调、虚实结合的业务升级。</w:t>
      </w:r>
    </w:p>
    <w:p w14:paraId="39E214D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养老服务金融领域，金融科技突破了时空限制，为老年人提供了更有针对性的金融服务。金融机构通过官方网站、网上银行、手机APP等互联网平台，为中老年人提供了丰富的金融产品，并录制金融理财知识视频，供老年人随时观看，满足了老年人长期性、个性化的金融产品与服务需求。</w:t>
      </w:r>
    </w:p>
    <w:p w14:paraId="0B3B669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养老金金融保障方面，金融科技提升了养老金领取的便利化和人性化。如广州市“微警认证”通过与人社局合作，实现了养老金一分钟远程认证核验，免除了老年人来回跑的问题。同时，金融科技通过数据跟踪、身份核验、监管等方面优势，提升了养老金金融的安全保障性，切实保障了老年人的养老权益。</w:t>
      </w:r>
    </w:p>
    <w:p w14:paraId="70498539">
      <w:pPr>
        <w:spacing w:line="360" w:lineRule="auto"/>
        <w:ind w:firstLine="480" w:firstLineChars="200"/>
        <w:rPr>
          <w:rFonts w:hint="eastAsia" w:ascii="宋体" w:hAnsi="宋体" w:eastAsia="宋体"/>
          <w:sz w:val="24"/>
          <w:szCs w:val="24"/>
          <w:lang w:val="en-US" w:eastAsia="zh-CN"/>
        </w:rPr>
      </w:pPr>
    </w:p>
    <w:p w14:paraId="02F4493B">
      <w:p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六、中国养老金制度与养老金融创新的互动关系</w:t>
      </w:r>
    </w:p>
    <w:p w14:paraId="17809F5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在中国，养老金制度与养老金融创新之间存在着密切的互动关系，这种关系体现在守正与创新的动态平衡中。养老金制度为养老金融创新提供了基础架构和运作规则，而养老金融创新则为养老金制度的完善和发展提供了新的动力和解决方案。</w:t>
      </w:r>
    </w:p>
    <w:p w14:paraId="2661C0A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养老金制度对养老金融创新的影响体现在制度安排对资本市场的引导作用。养老金制度通过明确规定资金的筹集、管理和支付方式，为养老金融产品和服务的创新提供了基本框架。例如，我国养老金制度的三大支柱——基本养老保险、企业年金和个人养老金，构成了养老金融创新的基础</w:t>
      </w:r>
      <w:r>
        <w:rPr>
          <w:rStyle w:val="15"/>
          <w:rFonts w:hint="eastAsia" w:ascii="宋体" w:hAnsi="宋体" w:eastAsia="宋体"/>
          <w:sz w:val="24"/>
          <w:szCs w:val="24"/>
        </w:rPr>
        <w:footnoteReference w:id="13"/>
      </w:r>
      <w:r>
        <w:rPr>
          <w:rFonts w:hint="eastAsia" w:ascii="宋体" w:hAnsi="宋体" w:eastAsia="宋体"/>
          <w:sz w:val="24"/>
          <w:szCs w:val="24"/>
        </w:rPr>
        <w:t>。这些制度安排不仅保障了老年人的基本生活需求，还激发了金融机构开发与养老金相关的金融产品，如养老目标基金、反向抵押贷款等，这些创新金融产品通过提供多样化的投资渠道和风险管理工具，增强了养老金制度的可持续性。</w:t>
      </w:r>
    </w:p>
    <w:p w14:paraId="0BBC697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新型养老金融创新对养老金制度的反馈作用表现在技术进步和产品创新对制度效率的提升。金融科技的应用，如大数据分析、云计算和区块链技术，使得养老金管理更加透明、高效，同时降低了运营成本。这些技术的应用不仅提高了养老金资产管理的专业性，还通过智能投顾、自动化资产管理等服务，为老年人提供了更为个性化和精准的养老金融规划，从而增强了养老金制度的适应性和灵活性。</w:t>
      </w:r>
    </w:p>
    <w:p w14:paraId="28F6E30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政策协调与制度创新是实现养老金制度与养老金融创新良性互动的关键。政策制定者需要在顶层设计上进行统筹规划，确保养老金制度与金融创新之间的协调发展。这包括制定相应的法律法规，如《基本养老保险基金投资管理办法》</w:t>
      </w:r>
      <w:r>
        <w:rPr>
          <w:rStyle w:val="15"/>
          <w:rFonts w:hint="eastAsia" w:ascii="宋体" w:hAnsi="宋体" w:eastAsia="宋体"/>
          <w:sz w:val="24"/>
          <w:szCs w:val="24"/>
        </w:rPr>
        <w:footnoteReference w:id="14"/>
      </w:r>
      <w:r>
        <w:rPr>
          <w:rFonts w:hint="eastAsia" w:ascii="宋体" w:hAnsi="宋体" w:eastAsia="宋体"/>
          <w:sz w:val="24"/>
          <w:szCs w:val="24"/>
        </w:rPr>
        <w:t>，以及推动金融机构与科技企业的合作，共同开发适应老年人需求的金融产品和服务。政策协调还涉及到风险管理，确保养老金融创新在风险可控的前提下进行，保护老年人的权益。同时，制度创新需要不断适应社会变迁和人口结构的变化，如通过引入个人自愿税延养老金等新型养老金融产品，以满足不同收入层次人群的养老需求。</w:t>
      </w:r>
    </w:p>
    <w:p w14:paraId="584EDA6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养老金制度与养老金融创新之间的互动关系是复杂而微妙的。养老金制度为金融创新提供了稳定的运作环境，而金融创新则为养老金制度带来了新的活力和效率。政策协调与制度创新则是这一互动关系中不可或缺的调节机制，确保两者能够在守正的基础上实现持续创新，共同推动我国养老金融事业的健康发展。</w:t>
      </w:r>
    </w:p>
    <w:p w14:paraId="0B3AC19B">
      <w:pPr>
        <w:spacing w:line="360" w:lineRule="auto"/>
        <w:ind w:firstLine="480" w:firstLineChars="200"/>
        <w:rPr>
          <w:rFonts w:hint="eastAsia" w:ascii="宋体" w:hAnsi="宋体" w:eastAsia="宋体"/>
          <w:sz w:val="24"/>
          <w:szCs w:val="24"/>
        </w:rPr>
      </w:pPr>
    </w:p>
    <w:p w14:paraId="3E6B4BB4">
      <w:pPr>
        <w:spacing w:line="360" w:lineRule="auto"/>
        <w:ind w:firstLine="560" w:firstLineChars="200"/>
        <w:rPr>
          <w:rFonts w:hint="default" w:ascii="黑体" w:hAnsi="黑体" w:eastAsia="黑体"/>
          <w:sz w:val="28"/>
          <w:szCs w:val="28"/>
          <w:lang w:val="en-US" w:eastAsia="zh-CN"/>
        </w:rPr>
      </w:pPr>
      <w:r>
        <w:rPr>
          <w:rFonts w:hint="eastAsia" w:ascii="黑体" w:hAnsi="黑体" w:eastAsia="黑体"/>
          <w:sz w:val="28"/>
          <w:szCs w:val="28"/>
          <w:lang w:val="en-US" w:eastAsia="zh-CN"/>
        </w:rPr>
        <w:t>七、中国养老金制度的未来之路在何方</w:t>
      </w:r>
    </w:p>
    <w:p w14:paraId="2A13E07B">
      <w:pPr>
        <w:spacing w:line="360" w:lineRule="auto"/>
        <w:ind w:firstLine="480" w:firstLineChars="200"/>
        <w:rPr>
          <w:rFonts w:hint="eastAsia" w:ascii="宋体" w:hAnsi="宋体" w:eastAsia="宋体"/>
          <w:sz w:val="24"/>
          <w:szCs w:val="24"/>
        </w:rPr>
      </w:pPr>
      <w:r>
        <w:rPr>
          <w:rFonts w:hint="default" w:ascii="宋体" w:hAnsi="宋体" w:eastAsia="宋体"/>
          <w:sz w:val="24"/>
          <w:szCs w:val="24"/>
        </w:rPr>
        <w:t>随着中国人口老龄化的不断加剧，养老金制度正面临着前所未有的挑战。赡养比的下降，即缴纳养老金的劳动力人数相对于领取养老金的退休人数的减少，直接威胁到养老金制度的财务可持续性，导致基金赤字风险的增加。据相关数据显示，中国的老龄化速度远超许多发达国家，</w:t>
      </w:r>
      <w:r>
        <w:rPr>
          <w:rFonts w:hint="eastAsia" w:ascii="宋体" w:hAnsi="宋体" w:eastAsia="宋体"/>
          <w:sz w:val="24"/>
          <w:szCs w:val="24"/>
          <w:lang w:val="en-US" w:eastAsia="zh-CN"/>
        </w:rPr>
        <w:t>这</w:t>
      </w:r>
      <w:r>
        <w:rPr>
          <w:rFonts w:hint="default" w:ascii="宋体" w:hAnsi="宋体" w:eastAsia="宋体"/>
          <w:sz w:val="24"/>
          <w:szCs w:val="24"/>
        </w:rPr>
        <w:t>不仅使得部分省份的养老金基金出现支付缺口，需要中央调剂或财政补贴以维持支付，也进一步加剧了整个制度的财务压力。</w:t>
      </w:r>
    </w:p>
    <w:p w14:paraId="5195D997">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在这种背景下，养老金制度的可持续性与公平性问题变得尤为突出。可持续性问题关注的是养老金制度能否在未来长期内为退休人口提供稳定的收入支持，而公平性问题则涉及到不同群体、不同地区之间的养老金待遇差异</w:t>
      </w:r>
      <w:r>
        <w:rPr>
          <w:rStyle w:val="15"/>
          <w:rFonts w:hint="default" w:ascii="宋体" w:hAnsi="宋体" w:eastAsia="宋体"/>
          <w:sz w:val="24"/>
          <w:szCs w:val="24"/>
        </w:rPr>
        <w:footnoteReference w:id="15"/>
      </w:r>
      <w:r>
        <w:rPr>
          <w:rFonts w:hint="default" w:ascii="宋体" w:hAnsi="宋体" w:eastAsia="宋体"/>
          <w:sz w:val="24"/>
          <w:szCs w:val="24"/>
        </w:rPr>
        <w:t>。为了解决这些问题，对现行养老金制度进行结构性改革显得尤为迫切。改革措施包括提高退休年龄、调整缴费率、优化投资策略等，这些措施旨在增强制度的财务稳健性，并提高养老金待遇的公平性。例如，通过延长退休年龄，可以增加劳动力市场的参与度，减少养老金支付的压力；通过调整缴费率，可以平衡不同收入群体的缴费负担；而优化投资策略则可以提高养老金基金的投资回报率，增强基金的自我增值能力。</w:t>
      </w:r>
    </w:p>
    <w:p w14:paraId="7495E6D0">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国际经验为中国养老金制度的创新提供了宝贵的启示。发达国家在养老金资产管理、多层次养老金体系建设、以及养老金制度的灵活性设计等方面的实践，为中国养老金制度的改革提供了参考。特别是多支柱养老金模式，通过将公共养老金、职业养老金和个人储蓄养老金相结合，可以有效分散风险，增强制度的可持续性。一些国家通过引入自动缴费机制、提高养老金投资的市场化程度、以及强化养老金制度的透明度和监管，成功地提高了养老金制度的效率和公平性。这些做法为中国提供了可行的改革路径。</w:t>
      </w:r>
    </w:p>
    <w:p w14:paraId="7ABEF91F">
      <w:pPr>
        <w:spacing w:line="360" w:lineRule="auto"/>
        <w:ind w:firstLine="420" w:firstLineChars="200"/>
        <w:jc w:val="center"/>
      </w:pPr>
      <w:r>
        <w:drawing>
          <wp:inline distT="0" distB="0" distL="114300" distR="114300">
            <wp:extent cx="3831590" cy="2276475"/>
            <wp:effectExtent l="0" t="0" r="698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831590" cy="2276475"/>
                    </a:xfrm>
                    <a:prstGeom prst="rect">
                      <a:avLst/>
                    </a:prstGeom>
                    <a:noFill/>
                    <a:ln>
                      <a:noFill/>
                    </a:ln>
                  </pic:spPr>
                </pic:pic>
              </a:graphicData>
            </a:graphic>
          </wp:inline>
        </w:drawing>
      </w:r>
    </w:p>
    <w:p w14:paraId="7197401A">
      <w:pPr>
        <w:spacing w:line="360" w:lineRule="auto"/>
        <w:ind w:firstLine="420" w:firstLineChars="200"/>
        <w:jc w:val="center"/>
      </w:pPr>
      <w:r>
        <w:drawing>
          <wp:inline distT="0" distB="0" distL="114300" distR="114300">
            <wp:extent cx="4081145" cy="3385185"/>
            <wp:effectExtent l="0" t="0" r="508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4081145" cy="3385185"/>
                    </a:xfrm>
                    <a:prstGeom prst="rect">
                      <a:avLst/>
                    </a:prstGeom>
                    <a:noFill/>
                    <a:ln>
                      <a:noFill/>
                    </a:ln>
                  </pic:spPr>
                </pic:pic>
              </a:graphicData>
            </a:graphic>
          </wp:inline>
        </w:drawing>
      </w:r>
    </w:p>
    <w:p w14:paraId="49E479FA">
      <w:pPr>
        <w:spacing w:line="360" w:lineRule="auto"/>
        <w:jc w:val="left"/>
        <w:rPr>
          <w:rFonts w:hint="default" w:eastAsiaTheme="minorEastAsia"/>
          <w:lang w:val="en-US" w:eastAsia="zh-CN"/>
        </w:rPr>
      </w:pPr>
      <w:r>
        <w:rPr>
          <w:rFonts w:hint="eastAsia"/>
          <w:lang w:val="en-US" w:eastAsia="zh-CN"/>
        </w:rPr>
        <w:t xml:space="preserve">    随着养老金融支持政策地不断出台以及金融机构对养老金融业务重视程度地不断提升,近年来中国养老金融发展质量提升较为显著,在 38 个国家中的排名从 2010 年的第 36名上升至 2020 年的第 21 名</w:t>
      </w:r>
      <w:r>
        <w:rPr>
          <w:rStyle w:val="15"/>
          <w:rFonts w:hint="eastAsia"/>
          <w:lang w:val="en-US" w:eastAsia="zh-CN"/>
        </w:rPr>
        <w:footnoteReference w:id="16"/>
      </w:r>
      <w:r>
        <w:rPr>
          <w:rFonts w:hint="eastAsia"/>
          <w:lang w:val="en-US" w:eastAsia="zh-CN"/>
        </w:rPr>
        <w:t>，但与一些发达国家还存在较大差距。应肯定成果的同时正视差距并积极吸纳学习，不断完善中国养老金制度体系。</w:t>
      </w:r>
    </w:p>
    <w:p w14:paraId="0A0AEE32">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结合中国实际情况，吸收和融合国际经验，可以推动中国养老金制度的创新发展。例如，中国可以借鉴发达国家的经验，通过立法和政策引导，鼓励和规范第二支柱和第三支柱的发展，即职业养老金和个人储蓄养老金，以减轻第一支柱——公共养老金的压力。同时，通过提高养老金投资的市场化程度，可以增加养老金基金的收益，提高制度的财务稳健性</w:t>
      </w:r>
      <w:r>
        <w:rPr>
          <w:rStyle w:val="15"/>
          <w:rFonts w:hint="default" w:ascii="宋体" w:hAnsi="宋体" w:eastAsia="宋体"/>
          <w:sz w:val="24"/>
          <w:szCs w:val="24"/>
        </w:rPr>
        <w:footnoteReference w:id="17"/>
      </w:r>
      <w:r>
        <w:rPr>
          <w:rFonts w:hint="default" w:ascii="宋体" w:hAnsi="宋体" w:eastAsia="宋体"/>
          <w:sz w:val="24"/>
          <w:szCs w:val="24"/>
        </w:rPr>
        <w:t>。此外，</w:t>
      </w:r>
      <w:r>
        <w:rPr>
          <w:rFonts w:hint="eastAsia" w:ascii="宋体" w:hAnsi="宋体" w:eastAsia="宋体"/>
          <w:sz w:val="24"/>
          <w:szCs w:val="24"/>
          <w:lang w:val="en-US" w:eastAsia="zh-CN"/>
        </w:rPr>
        <w:t>更应</w:t>
      </w:r>
      <w:r>
        <w:rPr>
          <w:rFonts w:hint="default" w:ascii="宋体" w:hAnsi="宋体" w:eastAsia="宋体"/>
          <w:sz w:val="24"/>
          <w:szCs w:val="24"/>
        </w:rPr>
        <w:t>强化养老金制度的透明度和监管，增强公众对养老金制度的信任，提高制度的公平性和效率。</w:t>
      </w:r>
    </w:p>
    <w:p w14:paraId="0C3915A2">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未来</w:t>
      </w:r>
      <w:r>
        <w:rPr>
          <w:rFonts w:hint="eastAsia" w:ascii="宋体" w:hAnsi="宋体" w:eastAsia="宋体"/>
          <w:sz w:val="24"/>
          <w:szCs w:val="24"/>
          <w:lang w:eastAsia="zh-CN"/>
        </w:rPr>
        <w:t>，</w:t>
      </w:r>
      <w:r>
        <w:rPr>
          <w:rFonts w:hint="default" w:ascii="宋体" w:hAnsi="宋体" w:eastAsia="宋体"/>
          <w:sz w:val="24"/>
          <w:szCs w:val="24"/>
        </w:rPr>
        <w:t>我们必须坚持“守正”与“创新”的双轮驱动策略。</w:t>
      </w:r>
    </w:p>
    <w:p w14:paraId="79C42048">
      <w:pPr>
        <w:spacing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rPr>
        <w:t>从“守正”的角度来看，未来的养老金制度将继续坚持以公平为核心，维护制度的稳定性和可持续性，同时保持多层次体系的建设，确保养老金制度能够满足不同群体的需求。这意味着基本养老保险作为</w:t>
      </w:r>
      <w:r>
        <w:rPr>
          <w:rFonts w:hint="eastAsia" w:ascii="宋体" w:hAnsi="宋体" w:eastAsia="宋体"/>
          <w:sz w:val="24"/>
          <w:szCs w:val="24"/>
          <w:lang w:val="en-US" w:eastAsia="zh-CN"/>
        </w:rPr>
        <w:t>基石</w:t>
      </w:r>
      <w:r>
        <w:rPr>
          <w:rFonts w:hint="default" w:ascii="宋体" w:hAnsi="宋体" w:eastAsia="宋体"/>
          <w:sz w:val="24"/>
          <w:szCs w:val="24"/>
        </w:rPr>
        <w:t>，必须维持其普惠性和基础性，为最广泛的老年人口提供保障。同时，企业年金和职业年金作为第二支柱，应通过政策激励和规范管理，鼓励更多的企业和员工参与，以增强养老金的积累和储备。</w:t>
      </w:r>
      <w:r>
        <w:rPr>
          <w:rFonts w:hint="eastAsia" w:ascii="宋体" w:hAnsi="宋体" w:eastAsia="宋体"/>
          <w:sz w:val="24"/>
          <w:szCs w:val="24"/>
          <w:lang w:val="en-US" w:eastAsia="zh-CN"/>
        </w:rPr>
        <w:t>以此，通过守正来保住改革开放以来积累下的养老金制度成果。</w:t>
      </w:r>
    </w:p>
    <w:p w14:paraId="589BD9B7">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从“创新”的角度来看，养老金制度的未来必须更加灵活和多元化，以适应快速变化的社会经济环境。这</w:t>
      </w:r>
      <w:r>
        <w:rPr>
          <w:rFonts w:hint="eastAsia" w:ascii="宋体" w:hAnsi="宋体" w:eastAsia="宋体"/>
          <w:sz w:val="24"/>
          <w:szCs w:val="24"/>
          <w:lang w:val="en-US" w:eastAsia="zh-CN"/>
        </w:rPr>
        <w:t>不仅是</w:t>
      </w:r>
      <w:r>
        <w:rPr>
          <w:rFonts w:hint="default" w:ascii="宋体" w:hAnsi="宋体" w:eastAsia="宋体"/>
          <w:sz w:val="24"/>
          <w:szCs w:val="24"/>
        </w:rPr>
        <w:t>包括引入新的养老金产品，</w:t>
      </w:r>
      <w:r>
        <w:rPr>
          <w:rFonts w:hint="eastAsia" w:ascii="宋体" w:hAnsi="宋体" w:eastAsia="宋体"/>
          <w:sz w:val="24"/>
          <w:szCs w:val="24"/>
          <w:lang w:val="en-US" w:eastAsia="zh-CN"/>
        </w:rPr>
        <w:t>从个人养老金制度到</w:t>
      </w:r>
      <w:r>
        <w:rPr>
          <w:rFonts w:hint="default" w:ascii="宋体" w:hAnsi="宋体" w:eastAsia="宋体"/>
          <w:sz w:val="24"/>
          <w:szCs w:val="24"/>
        </w:rPr>
        <w:t>个人税延养老保险</w:t>
      </w:r>
      <w:r>
        <w:rPr>
          <w:rStyle w:val="15"/>
          <w:rFonts w:hint="default" w:ascii="宋体" w:hAnsi="宋体" w:eastAsia="宋体"/>
          <w:sz w:val="24"/>
          <w:szCs w:val="24"/>
        </w:rPr>
        <w:footnoteReference w:id="18"/>
      </w:r>
      <w:r>
        <w:rPr>
          <w:rFonts w:hint="default" w:ascii="宋体" w:hAnsi="宋体" w:eastAsia="宋体"/>
          <w:sz w:val="24"/>
          <w:szCs w:val="24"/>
        </w:rPr>
        <w:t>，</w:t>
      </w:r>
      <w:r>
        <w:rPr>
          <w:rFonts w:hint="eastAsia" w:ascii="宋体" w:hAnsi="宋体" w:eastAsia="宋体"/>
          <w:sz w:val="24"/>
          <w:szCs w:val="24"/>
          <w:lang w:val="en-US" w:eastAsia="zh-CN"/>
        </w:rPr>
        <w:t>更是</w:t>
      </w:r>
      <w:r>
        <w:rPr>
          <w:rFonts w:hint="default" w:ascii="宋体" w:hAnsi="宋体" w:eastAsia="宋体"/>
          <w:sz w:val="24"/>
          <w:szCs w:val="24"/>
        </w:rPr>
        <w:t>利用金融科技提高养老金管理的效率和透明度。金融科技的应用不仅能提升养老金的投资回报，还能通过智能投顾等服务，为老年人提供更加个性化的养老规划。同时，养老金制度的创新还应包括对国际经验的吸收和本土化，通过借鉴发达国家的多支柱养老金模式，构建一个更加稳健和灵活的养老金体系。</w:t>
      </w:r>
    </w:p>
    <w:p w14:paraId="1C32A662">
      <w:pPr>
        <w:spacing w:line="360" w:lineRule="auto"/>
        <w:ind w:firstLine="480" w:firstLineChars="200"/>
        <w:rPr>
          <w:rFonts w:hint="eastAsia" w:ascii="宋体" w:hAnsi="宋体" w:eastAsia="宋体"/>
          <w:sz w:val="24"/>
          <w:szCs w:val="24"/>
          <w:lang w:eastAsia="zh-CN"/>
        </w:rPr>
      </w:pPr>
      <w:r>
        <w:rPr>
          <w:rFonts w:hint="default" w:ascii="宋体" w:hAnsi="宋体" w:eastAsia="宋体"/>
          <w:sz w:val="24"/>
          <w:szCs w:val="24"/>
        </w:rPr>
        <w:t>中国养老金制度的未来之路</w:t>
      </w:r>
      <w:r>
        <w:rPr>
          <w:rFonts w:hint="eastAsia" w:ascii="宋体" w:hAnsi="宋体" w:eastAsia="宋体"/>
          <w:sz w:val="24"/>
          <w:szCs w:val="24"/>
          <w:lang w:eastAsia="zh-CN"/>
        </w:rPr>
        <w:t>，</w:t>
      </w:r>
      <w:r>
        <w:rPr>
          <w:rFonts w:hint="default" w:ascii="宋体" w:hAnsi="宋体" w:eastAsia="宋体"/>
          <w:sz w:val="24"/>
          <w:szCs w:val="24"/>
        </w:rPr>
        <w:t>在于坚守其核心价值和原则的同时，</w:t>
      </w:r>
      <w:r>
        <w:rPr>
          <w:rFonts w:hint="eastAsia" w:ascii="宋体" w:hAnsi="宋体" w:eastAsia="宋体"/>
          <w:sz w:val="24"/>
          <w:szCs w:val="24"/>
          <w:lang w:val="en-US" w:eastAsia="zh-CN"/>
        </w:rPr>
        <w:t>通过</w:t>
      </w:r>
      <w:r>
        <w:rPr>
          <w:rFonts w:hint="default" w:ascii="宋体" w:hAnsi="宋体" w:eastAsia="宋体"/>
          <w:sz w:val="24"/>
          <w:szCs w:val="24"/>
        </w:rPr>
        <w:t>创新</w:t>
      </w:r>
      <w:r>
        <w:rPr>
          <w:rFonts w:hint="eastAsia" w:ascii="宋体" w:hAnsi="宋体" w:eastAsia="宋体"/>
          <w:sz w:val="24"/>
          <w:szCs w:val="24"/>
          <w:lang w:val="en-US" w:eastAsia="zh-CN"/>
        </w:rPr>
        <w:t>驱动来</w:t>
      </w:r>
      <w:r>
        <w:rPr>
          <w:rFonts w:hint="default" w:ascii="宋体" w:hAnsi="宋体" w:eastAsia="宋体"/>
          <w:sz w:val="24"/>
          <w:szCs w:val="24"/>
        </w:rPr>
        <w:t>适应新的挑战。</w:t>
      </w:r>
      <w:r>
        <w:rPr>
          <w:rFonts w:hint="eastAsia" w:ascii="宋体" w:hAnsi="宋体" w:eastAsia="宋体"/>
          <w:sz w:val="24"/>
          <w:szCs w:val="24"/>
          <w:lang w:val="en-US" w:eastAsia="zh-CN"/>
        </w:rPr>
        <w:t>将</w:t>
      </w:r>
      <w:r>
        <w:rPr>
          <w:rFonts w:hint="default" w:ascii="宋体" w:hAnsi="宋体" w:eastAsia="宋体"/>
          <w:sz w:val="24"/>
          <w:szCs w:val="24"/>
        </w:rPr>
        <w:t>守正与创新有机结合，构建一个更加公平、可持续和适应性强的养老金制度，以应对人口老龄化带来的挑战，</w:t>
      </w:r>
      <w:r>
        <w:rPr>
          <w:rFonts w:hint="eastAsia" w:ascii="宋体" w:hAnsi="宋体" w:eastAsia="宋体"/>
          <w:sz w:val="24"/>
          <w:szCs w:val="24"/>
          <w:lang w:val="en-US" w:eastAsia="zh-CN"/>
        </w:rPr>
        <w:t>推动养老金制度与养老金融实现可持续发展</w:t>
      </w:r>
      <w:r>
        <w:rPr>
          <w:rFonts w:hint="eastAsia" w:ascii="宋体" w:hAnsi="宋体" w:eastAsia="宋体"/>
          <w:sz w:val="24"/>
          <w:szCs w:val="24"/>
          <w:lang w:eastAsia="zh-CN"/>
        </w:rPr>
        <w:t>。</w:t>
      </w:r>
    </w:p>
    <w:p w14:paraId="435C2D1E">
      <w:pPr>
        <w:spacing w:line="360" w:lineRule="auto"/>
        <w:rPr>
          <w:rFonts w:hint="eastAsia" w:ascii="宋体" w:hAnsi="宋体" w:eastAsia="宋体"/>
          <w:sz w:val="24"/>
          <w:szCs w:val="24"/>
        </w:rPr>
      </w:pPr>
    </w:p>
    <w:p w14:paraId="19AF8B79">
      <w:pPr>
        <w:spacing w:line="360" w:lineRule="auto"/>
        <w:rPr>
          <w:rFonts w:hint="eastAsia" w:ascii="宋体" w:hAnsi="宋体" w:eastAsia="宋体"/>
          <w:sz w:val="24"/>
          <w:szCs w:val="24"/>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7A"/>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r>
        <w:separator/>
      </w:r>
    </w:p>
  </w:footnote>
  <w:footnote w:type="continuationSeparator" w:id="39">
    <w:p>
      <w:r>
        <w:continuationSeparator/>
      </w:r>
    </w:p>
  </w:footnote>
  <w:footnote w:id="0">
    <w:p w14:paraId="62738113">
      <w:pPr>
        <w:pStyle w:val="7"/>
        <w:snapToGrid w:val="0"/>
        <w:rPr>
          <w:rFonts w:hint="default" w:eastAsiaTheme="minorEastAsia"/>
          <w:lang w:val="en-US" w:eastAsia="zh-CN"/>
        </w:rPr>
      </w:pPr>
      <w:r>
        <w:rPr>
          <w:rStyle w:val="15"/>
        </w:rPr>
        <w:footnoteRef/>
      </w:r>
      <w:r>
        <w:t xml:space="preserve"> </w:t>
      </w:r>
      <w:r>
        <w:rPr>
          <w:rFonts w:hint="eastAsia"/>
        </w:rPr>
        <w:t>民政部、全国老龄办：《2023年度国家老龄事业发展公报》，中华人民共和国民政部</w:t>
      </w:r>
      <w:r>
        <w:rPr>
          <w:rFonts w:hint="eastAsia"/>
          <w:lang w:eastAsia="zh-CN"/>
        </w:rPr>
        <w:t>，</w:t>
      </w:r>
      <w:r>
        <w:rPr>
          <w:rFonts w:hint="eastAsia"/>
          <w:lang w:val="en-US" w:eastAsia="zh-CN"/>
        </w:rPr>
        <w:t>第1页</w:t>
      </w:r>
    </w:p>
  </w:footnote>
  <w:footnote w:id="1">
    <w:p w14:paraId="01BA6B39">
      <w:pPr>
        <w:pStyle w:val="7"/>
        <w:snapToGrid w:val="0"/>
        <w:rPr>
          <w:rFonts w:hint="default" w:eastAsiaTheme="minorEastAsia"/>
          <w:lang w:val="en-US" w:eastAsia="zh-CN"/>
        </w:rPr>
      </w:pPr>
      <w:r>
        <w:rPr>
          <w:rStyle w:val="15"/>
        </w:rPr>
        <w:footnoteRef/>
      </w:r>
      <w:r>
        <w:t xml:space="preserve"> </w:t>
      </w:r>
      <w:r>
        <w:rPr>
          <w:rFonts w:hint="eastAsia"/>
        </w:rPr>
        <w:t>中华人民共和国政务院：《中华人民共和国劳动保险条例》，中华人民共和国政务院</w:t>
      </w:r>
      <w:r>
        <w:rPr>
          <w:rFonts w:hint="eastAsia"/>
          <w:lang w:val="en-US" w:eastAsia="zh-CN"/>
        </w:rPr>
        <w:t>1951年版，第9-10页</w:t>
      </w:r>
    </w:p>
  </w:footnote>
  <w:footnote w:id="2">
    <w:p w14:paraId="5EB3FA2C">
      <w:pPr>
        <w:pStyle w:val="7"/>
        <w:snapToGrid w:val="0"/>
      </w:pPr>
      <w:r>
        <w:rPr>
          <w:rStyle w:val="15"/>
        </w:rPr>
        <w:footnoteRef/>
      </w:r>
      <w:r>
        <w:t xml:space="preserve"> </w:t>
      </w:r>
      <w:r>
        <w:rPr>
          <w:rFonts w:hint="eastAsia"/>
        </w:rPr>
        <w:t>成志刚、文敏：《新中国成立70周年养老金制度的历史演变与发展图景》，《湘潭大学学报（哲学社会科学版）》2019年第43卷第5期，第</w:t>
      </w:r>
      <w:r>
        <w:rPr>
          <w:rFonts w:hint="eastAsia"/>
          <w:lang w:val="en-US" w:eastAsia="zh-CN"/>
        </w:rPr>
        <w:t>22</w:t>
      </w:r>
      <w:r>
        <w:rPr>
          <w:rFonts w:hint="eastAsia"/>
        </w:rPr>
        <w:t>-</w:t>
      </w:r>
      <w:r>
        <w:rPr>
          <w:rFonts w:hint="eastAsia"/>
          <w:lang w:val="en-US" w:eastAsia="zh-CN"/>
        </w:rPr>
        <w:t>28</w:t>
      </w:r>
      <w:r>
        <w:rPr>
          <w:rFonts w:hint="eastAsia"/>
        </w:rPr>
        <w:t>页</w:t>
      </w:r>
    </w:p>
  </w:footnote>
  <w:footnote w:id="3">
    <w:p w14:paraId="3A28514E">
      <w:pPr>
        <w:pStyle w:val="7"/>
        <w:snapToGrid w:val="0"/>
      </w:pPr>
      <w:r>
        <w:rPr>
          <w:rStyle w:val="15"/>
        </w:rPr>
        <w:footnoteRef/>
      </w:r>
      <w:r>
        <w:t xml:space="preserve"> </w:t>
      </w:r>
      <w:r>
        <w:rPr>
          <w:rFonts w:hint="eastAsia"/>
        </w:rPr>
        <w:t>鲁全：《改革开放以来的中国养老金制度：演变逻辑与理论思考》，《社会保障评论》2018年第2卷第4期，第43-55页</w:t>
      </w:r>
    </w:p>
  </w:footnote>
  <w:footnote w:id="4">
    <w:p w14:paraId="08BBFEE1">
      <w:pPr>
        <w:pStyle w:val="7"/>
        <w:snapToGrid w:val="0"/>
        <w:rPr>
          <w:rFonts w:hint="default" w:eastAsiaTheme="minorEastAsia"/>
          <w:lang w:val="en-US" w:eastAsia="zh-CN"/>
        </w:rPr>
      </w:pPr>
      <w:r>
        <w:rPr>
          <w:rStyle w:val="15"/>
        </w:rPr>
        <w:footnoteRef/>
      </w:r>
      <w:r>
        <w:t xml:space="preserve"> </w:t>
      </w:r>
      <w:r>
        <w:rPr>
          <w:rFonts w:hint="eastAsia"/>
        </w:rPr>
        <w:t>United Nations, Department of Economic and Social Affairs, Population Division：《World Population Prospects 2019》</w:t>
      </w:r>
      <w:r>
        <w:rPr>
          <w:rFonts w:hint="eastAsia"/>
          <w:lang w:val="en-US" w:eastAsia="zh-CN"/>
        </w:rPr>
        <w:t xml:space="preserve">, </w:t>
      </w:r>
      <w:r>
        <w:rPr>
          <w:rFonts w:hint="eastAsia"/>
        </w:rPr>
        <w:t>United Nations 201</w:t>
      </w:r>
      <w:r>
        <w:rPr>
          <w:rFonts w:hint="eastAsia"/>
          <w:lang w:val="en-US" w:eastAsia="zh-CN"/>
        </w:rPr>
        <w:t>9, 第38页</w:t>
      </w:r>
    </w:p>
  </w:footnote>
  <w:footnote w:id="5">
    <w:p w14:paraId="7EE6AC80">
      <w:pPr>
        <w:pStyle w:val="7"/>
        <w:snapToGrid w:val="0"/>
        <w:rPr>
          <w:rFonts w:hint="default" w:eastAsiaTheme="minorEastAsia"/>
          <w:lang w:val="en-US" w:eastAsia="zh-CN"/>
        </w:rPr>
      </w:pPr>
      <w:r>
        <w:rPr>
          <w:rStyle w:val="15"/>
        </w:rPr>
        <w:footnoteRef/>
      </w:r>
      <w:r>
        <w:t xml:space="preserve"> </w:t>
      </w:r>
      <w:r>
        <w:rPr>
          <w:rFonts w:hint="eastAsia"/>
        </w:rPr>
        <w:t>United Nations, Department of Economic and Social Affairs, Population Division：《World Population Prospects 2019》，United Nations 2019</w:t>
      </w:r>
      <w:r>
        <w:rPr>
          <w:rFonts w:hint="eastAsia"/>
          <w:lang w:eastAsia="zh-CN"/>
        </w:rPr>
        <w:t>，</w:t>
      </w:r>
      <w:r>
        <w:rPr>
          <w:rFonts w:hint="eastAsia"/>
          <w:lang w:val="en-US" w:eastAsia="zh-CN"/>
        </w:rPr>
        <w:t>第51页</w:t>
      </w:r>
    </w:p>
  </w:footnote>
  <w:footnote w:id="6">
    <w:p w14:paraId="4BE247EF">
      <w:pPr>
        <w:pStyle w:val="7"/>
        <w:snapToGrid w:val="0"/>
        <w:rPr>
          <w:rFonts w:hint="default" w:eastAsiaTheme="minorEastAsia"/>
          <w:lang w:val="en-US" w:eastAsia="zh-CN"/>
        </w:rPr>
      </w:pPr>
      <w:r>
        <w:rPr>
          <w:rStyle w:val="15"/>
        </w:rPr>
        <w:footnoteRef/>
      </w:r>
      <w:r>
        <w:t xml:space="preserve"> </w:t>
      </w:r>
      <w:r>
        <w:rPr>
          <w:rFonts w:hint="eastAsia"/>
        </w:rPr>
        <w:t>张文栋：《中国人口年龄结构变化对储蓄率的影响分析》，华侨大学2018年</w:t>
      </w:r>
      <w:r>
        <w:rPr>
          <w:rFonts w:hint="eastAsia"/>
          <w:lang w:eastAsia="zh-CN"/>
        </w:rPr>
        <w:t>，</w:t>
      </w:r>
      <w:r>
        <w:rPr>
          <w:rFonts w:hint="eastAsia"/>
          <w:lang w:val="en-US" w:eastAsia="zh-CN"/>
        </w:rPr>
        <w:t>第19页</w:t>
      </w:r>
    </w:p>
  </w:footnote>
  <w:footnote w:id="7">
    <w:p w14:paraId="1A51583A">
      <w:pPr>
        <w:pStyle w:val="7"/>
        <w:snapToGrid w:val="0"/>
        <w:rPr>
          <w:rFonts w:hint="default" w:eastAsiaTheme="minorEastAsia"/>
          <w:lang w:val="en-US" w:eastAsia="zh-CN"/>
        </w:rPr>
      </w:pPr>
      <w:r>
        <w:rPr>
          <w:rStyle w:val="15"/>
        </w:rPr>
        <w:footnoteRef/>
      </w:r>
      <w:r>
        <w:t xml:space="preserve"> </w:t>
      </w:r>
      <w:r>
        <w:rPr>
          <w:rFonts w:hint="eastAsia"/>
        </w:rPr>
        <w:t>孙雨萌：《老龄化背景下区域人口年龄结构对养老金储备的影响--基于省际面板数据》，上海外国语大学2023年</w:t>
      </w:r>
      <w:r>
        <w:rPr>
          <w:rFonts w:hint="eastAsia"/>
          <w:lang w:eastAsia="zh-CN"/>
        </w:rPr>
        <w:t>，</w:t>
      </w:r>
      <w:r>
        <w:rPr>
          <w:rFonts w:hint="eastAsia"/>
          <w:lang w:val="en-US" w:eastAsia="zh-CN"/>
        </w:rPr>
        <w:t>第六章第35-37页</w:t>
      </w:r>
    </w:p>
  </w:footnote>
  <w:footnote w:id="8">
    <w:p w14:paraId="187DE5DB">
      <w:pPr>
        <w:pStyle w:val="7"/>
        <w:snapToGrid w:val="0"/>
      </w:pPr>
      <w:r>
        <w:rPr>
          <w:rStyle w:val="15"/>
        </w:rPr>
        <w:footnoteRef/>
      </w:r>
      <w:r>
        <w:t xml:space="preserve"> </w:t>
      </w:r>
      <w:r>
        <w:rPr>
          <w:rFonts w:hint="eastAsia"/>
        </w:rPr>
        <w:t>朱文佩、林义：《养老金融支持多层次养老保险体系优化：逻辑起点、现实困境与推进路径》，《当代经济管理》2024年第46卷第12期，第</w:t>
      </w:r>
      <w:r>
        <w:rPr>
          <w:rFonts w:hint="eastAsia"/>
          <w:lang w:val="en-US" w:eastAsia="zh-CN"/>
        </w:rPr>
        <w:t>54-68</w:t>
      </w:r>
      <w:r>
        <w:rPr>
          <w:rFonts w:hint="eastAsia"/>
        </w:rPr>
        <w:t>页</w:t>
      </w:r>
    </w:p>
  </w:footnote>
  <w:footnote w:id="9">
    <w:p w14:paraId="1ECD39E4">
      <w:pPr>
        <w:pStyle w:val="7"/>
        <w:snapToGrid w:val="0"/>
      </w:pPr>
      <w:r>
        <w:rPr>
          <w:rStyle w:val="15"/>
        </w:rPr>
        <w:footnoteRef/>
      </w:r>
      <w:r>
        <w:t xml:space="preserve"> </w:t>
      </w:r>
      <w:r>
        <w:rPr>
          <w:rFonts w:hint="eastAsia"/>
        </w:rPr>
        <w:t>高和荣、陈凤娟：《个人养老金制度的实施、挑战与优化》，《西北大学学报（哲学社会科学版）》2022年第52卷第6期，第82-89页</w:t>
      </w:r>
    </w:p>
  </w:footnote>
  <w:footnote w:id="10">
    <w:p w14:paraId="40B2178F">
      <w:pPr>
        <w:pStyle w:val="7"/>
        <w:snapToGrid w:val="0"/>
      </w:pPr>
      <w:r>
        <w:rPr>
          <w:rStyle w:val="15"/>
        </w:rPr>
        <w:footnoteRef/>
      </w:r>
      <w:r>
        <w:t xml:space="preserve"> </w:t>
      </w:r>
      <w:r>
        <w:rPr>
          <w:rFonts w:hint="eastAsia"/>
        </w:rPr>
        <w:t>朱文佩、林义：《养老金融支持多层次养老保险体系优化：逻辑起点、现实困境与推进路径》，《当代经济管理》2024年第46卷第12期，第76-86页</w:t>
      </w:r>
    </w:p>
  </w:footnote>
  <w:footnote w:id="11">
    <w:p w14:paraId="6D617AFB">
      <w:pPr>
        <w:pStyle w:val="7"/>
        <w:snapToGrid w:val="0"/>
        <w:rPr>
          <w:rFonts w:hint="default" w:eastAsiaTheme="minorEastAsia"/>
          <w:lang w:val="en-US" w:eastAsia="zh-CN"/>
        </w:rPr>
      </w:pPr>
      <w:r>
        <w:rPr>
          <w:rStyle w:val="15"/>
        </w:rPr>
        <w:footnoteRef/>
      </w:r>
      <w:r>
        <w:t xml:space="preserve"> </w:t>
      </w:r>
      <w:r>
        <w:rPr>
          <w:rFonts w:hint="eastAsia"/>
        </w:rPr>
        <w:t>石雨昕：《个人养老金制度15日起推向全国》，《每日经济新闻》2024年12月13日第003版</w:t>
      </w:r>
      <w:r>
        <w:rPr>
          <w:rFonts w:hint="eastAsia"/>
          <w:lang w:eastAsia="zh-CN"/>
        </w:rPr>
        <w:t>，</w:t>
      </w:r>
      <w:r>
        <w:rPr>
          <w:rFonts w:hint="eastAsia"/>
          <w:lang w:val="en-US" w:eastAsia="zh-CN"/>
        </w:rPr>
        <w:t>第2页</w:t>
      </w:r>
    </w:p>
  </w:footnote>
  <w:footnote w:id="12">
    <w:p w14:paraId="72A8D5E4">
      <w:pPr>
        <w:pStyle w:val="7"/>
        <w:snapToGrid w:val="0"/>
        <w:rPr>
          <w:rFonts w:hint="default" w:eastAsiaTheme="minorEastAsia"/>
          <w:lang w:val="en-US" w:eastAsia="zh-CN"/>
        </w:rPr>
      </w:pPr>
      <w:r>
        <w:rPr>
          <w:rStyle w:val="15"/>
        </w:rPr>
        <w:footnoteRef/>
      </w:r>
      <w:r>
        <w:t xml:space="preserve"> </w:t>
      </w:r>
      <w:r>
        <w:rPr>
          <w:rFonts w:hint="eastAsia"/>
        </w:rPr>
        <w:t>党雪：《金融科技在养老金融发展中的赋能作用与路径》，《西南金融》2021年第02期</w:t>
      </w:r>
      <w:r>
        <w:rPr>
          <w:rFonts w:hint="eastAsia"/>
          <w:lang w:eastAsia="zh-CN"/>
        </w:rPr>
        <w:t>，</w:t>
      </w:r>
      <w:r>
        <w:rPr>
          <w:rFonts w:hint="eastAsia"/>
          <w:lang w:val="en-US" w:eastAsia="zh-CN"/>
        </w:rPr>
        <w:t>第1-5页</w:t>
      </w:r>
    </w:p>
  </w:footnote>
  <w:footnote w:id="13">
    <w:p w14:paraId="3FE35CDB">
      <w:pPr>
        <w:pStyle w:val="7"/>
        <w:snapToGrid w:val="0"/>
      </w:pPr>
      <w:r>
        <w:rPr>
          <w:rStyle w:val="15"/>
        </w:rPr>
        <w:footnoteRef/>
      </w:r>
      <w:r>
        <w:t xml:space="preserve"> </w:t>
      </w:r>
      <w:r>
        <w:rPr>
          <w:rFonts w:hint="eastAsia"/>
        </w:rPr>
        <w:t>李奕琳：《浅谈我国“多层次混合型”养老保障体系改革——“第三支柱”个人养老金制度的改革》，《文渊（中学版）》2023年第10期</w:t>
      </w:r>
    </w:p>
  </w:footnote>
  <w:footnote w:id="14">
    <w:p w14:paraId="2D28CB03">
      <w:pPr>
        <w:pStyle w:val="7"/>
        <w:snapToGrid w:val="0"/>
        <w:rPr>
          <w:rFonts w:hint="default" w:eastAsiaTheme="minorEastAsia"/>
          <w:lang w:val="en-US" w:eastAsia="zh-CN"/>
        </w:rPr>
      </w:pPr>
      <w:r>
        <w:rPr>
          <w:rStyle w:val="15"/>
        </w:rPr>
        <w:footnoteRef/>
      </w:r>
      <w:r>
        <w:t xml:space="preserve"> </w:t>
      </w:r>
      <w:r>
        <w:rPr>
          <w:rFonts w:hint="eastAsia"/>
        </w:rPr>
        <w:t>国务院：《基本养老保险基金投资管理办法》，中国政府网2015年</w:t>
      </w:r>
      <w:r>
        <w:rPr>
          <w:rFonts w:hint="eastAsia"/>
          <w:lang w:eastAsia="zh-CN"/>
        </w:rPr>
        <w:t>，</w:t>
      </w:r>
      <w:r>
        <w:rPr>
          <w:rFonts w:hint="eastAsia"/>
          <w:lang w:val="en-US" w:eastAsia="zh-CN"/>
        </w:rPr>
        <w:t>第3-6页</w:t>
      </w:r>
    </w:p>
  </w:footnote>
  <w:footnote w:id="15">
    <w:p w14:paraId="4A9BF0A9">
      <w:pPr>
        <w:pStyle w:val="7"/>
        <w:snapToGrid w:val="0"/>
        <w:rPr>
          <w:rFonts w:hint="default" w:eastAsiaTheme="minorEastAsia"/>
          <w:lang w:val="en-US" w:eastAsia="zh-CN"/>
        </w:rPr>
      </w:pPr>
      <w:r>
        <w:rPr>
          <w:rStyle w:val="15"/>
        </w:rPr>
        <w:footnoteRef/>
      </w:r>
      <w:r>
        <w:t xml:space="preserve"> </w:t>
      </w:r>
      <w:r>
        <w:rPr>
          <w:rFonts w:hint="eastAsia"/>
        </w:rPr>
        <w:t>段波：《基于养老金可持续性与职工意愿的延迟退休策略研究》，华北电力大学2018</w:t>
      </w:r>
      <w:r>
        <w:rPr>
          <w:rFonts w:hint="eastAsia"/>
          <w:lang w:eastAsia="zh-CN"/>
        </w:rPr>
        <w:t>，</w:t>
      </w:r>
      <w:r>
        <w:rPr>
          <w:rFonts w:hint="eastAsia"/>
          <w:lang w:val="en-US" w:eastAsia="zh-CN"/>
        </w:rPr>
        <w:t>第4-11页</w:t>
      </w:r>
    </w:p>
  </w:footnote>
  <w:footnote w:id="16">
    <w:p w14:paraId="0360CCE2">
      <w:pPr>
        <w:pStyle w:val="7"/>
        <w:snapToGrid w:val="0"/>
      </w:pPr>
      <w:r>
        <w:rPr>
          <w:rStyle w:val="15"/>
        </w:rPr>
        <w:footnoteRef/>
      </w:r>
      <w:r>
        <w:t xml:space="preserve"> </w:t>
      </w:r>
      <w:r>
        <w:rPr>
          <w:rFonts w:hint="eastAsia"/>
        </w:rPr>
        <w:t>朱文佩、林义：《养老金融创新与个人养老金制度优化研究》，《云南财经大学学报》2024年第40卷第5期，第</w:t>
      </w:r>
      <w:r>
        <w:rPr>
          <w:rFonts w:hint="eastAsia"/>
          <w:lang w:val="en-US" w:eastAsia="zh-CN"/>
        </w:rPr>
        <w:t>41-43</w:t>
      </w:r>
      <w:r>
        <w:rPr>
          <w:rFonts w:hint="eastAsia"/>
        </w:rPr>
        <w:t>页</w:t>
      </w:r>
    </w:p>
  </w:footnote>
  <w:footnote w:id="17">
    <w:p w14:paraId="62EA5C3B">
      <w:pPr>
        <w:pStyle w:val="7"/>
        <w:snapToGrid w:val="0"/>
      </w:pPr>
      <w:r>
        <w:rPr>
          <w:rStyle w:val="15"/>
        </w:rPr>
        <w:footnoteRef/>
      </w:r>
      <w:r>
        <w:t xml:space="preserve"> </w:t>
      </w:r>
      <w:r>
        <w:rPr>
          <w:rFonts w:hint="eastAsia"/>
        </w:rPr>
        <w:t>刘昱彤：《个人养老金制度可持续发展浅议》，《合作经济与科技》2024年第24期，第77-79页</w:t>
      </w:r>
    </w:p>
  </w:footnote>
  <w:footnote w:id="18">
    <w:p w14:paraId="0047D9E8">
      <w:pPr>
        <w:pStyle w:val="7"/>
        <w:snapToGrid w:val="0"/>
      </w:pPr>
      <w:r>
        <w:rPr>
          <w:rStyle w:val="15"/>
        </w:rPr>
        <w:footnoteRef/>
      </w:r>
      <w:r>
        <w:t xml:space="preserve"> </w:t>
      </w:r>
      <w:r>
        <w:rPr>
          <w:rFonts w:hint="eastAsia"/>
        </w:rPr>
        <w:t>余桔云、敖颖、刘婕等：《全国统筹、延迟退休与企业养老基金平衡能力》，《社会保障研究》2024年第4期，第50-61页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9CE9A"/>
    <w:multiLevelType w:val="singleLevel"/>
    <w:tmpl w:val="EE49CE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38"/>
    <w:footnote w:id="3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patz5abfvz2xet9d552prf90rr0pe0azat&quot;&gt;My EndNote Library&lt;record-ids&gt;&lt;item&gt;8&lt;/item&gt;&lt;/record-ids&gt;&lt;/item&gt;&lt;/Libraries&gt;"/>
  </w:docVars>
  <w:rsids>
    <w:rsidRoot w:val="005E5833"/>
    <w:rsid w:val="000062D1"/>
    <w:rsid w:val="00014047"/>
    <w:rsid w:val="0002448D"/>
    <w:rsid w:val="000247F2"/>
    <w:rsid w:val="000249AF"/>
    <w:rsid w:val="00026EB2"/>
    <w:rsid w:val="0003155E"/>
    <w:rsid w:val="00040BED"/>
    <w:rsid w:val="000421EB"/>
    <w:rsid w:val="000426CA"/>
    <w:rsid w:val="0004402E"/>
    <w:rsid w:val="000524BD"/>
    <w:rsid w:val="0005505E"/>
    <w:rsid w:val="000617FC"/>
    <w:rsid w:val="00063E1C"/>
    <w:rsid w:val="00064294"/>
    <w:rsid w:val="00073502"/>
    <w:rsid w:val="00073854"/>
    <w:rsid w:val="00073AC5"/>
    <w:rsid w:val="000754FF"/>
    <w:rsid w:val="000768BC"/>
    <w:rsid w:val="0008458C"/>
    <w:rsid w:val="00086702"/>
    <w:rsid w:val="0008744C"/>
    <w:rsid w:val="00091CDE"/>
    <w:rsid w:val="00094B37"/>
    <w:rsid w:val="00095635"/>
    <w:rsid w:val="000A068F"/>
    <w:rsid w:val="000A5E03"/>
    <w:rsid w:val="000B1E5D"/>
    <w:rsid w:val="000B1F3B"/>
    <w:rsid w:val="000B6F44"/>
    <w:rsid w:val="000B7BF0"/>
    <w:rsid w:val="000C3C39"/>
    <w:rsid w:val="000D005E"/>
    <w:rsid w:val="000D7130"/>
    <w:rsid w:val="000E10B2"/>
    <w:rsid w:val="000E6157"/>
    <w:rsid w:val="000E6EA1"/>
    <w:rsid w:val="000F0EC3"/>
    <w:rsid w:val="000F10C3"/>
    <w:rsid w:val="000F19A3"/>
    <w:rsid w:val="000F5B7F"/>
    <w:rsid w:val="00104663"/>
    <w:rsid w:val="001067FB"/>
    <w:rsid w:val="00107970"/>
    <w:rsid w:val="00112CDC"/>
    <w:rsid w:val="00113808"/>
    <w:rsid w:val="001164AD"/>
    <w:rsid w:val="00121481"/>
    <w:rsid w:val="00123E88"/>
    <w:rsid w:val="00135DE8"/>
    <w:rsid w:val="00140B61"/>
    <w:rsid w:val="0014684D"/>
    <w:rsid w:val="0015027D"/>
    <w:rsid w:val="00156CFA"/>
    <w:rsid w:val="001572B5"/>
    <w:rsid w:val="00161044"/>
    <w:rsid w:val="0016180D"/>
    <w:rsid w:val="00164C4B"/>
    <w:rsid w:val="001702FE"/>
    <w:rsid w:val="00174733"/>
    <w:rsid w:val="00177407"/>
    <w:rsid w:val="001924D4"/>
    <w:rsid w:val="001952C4"/>
    <w:rsid w:val="001A0207"/>
    <w:rsid w:val="001A0FCA"/>
    <w:rsid w:val="001A5C8C"/>
    <w:rsid w:val="001B0C66"/>
    <w:rsid w:val="001B7CF0"/>
    <w:rsid w:val="001C0CF2"/>
    <w:rsid w:val="001C3270"/>
    <w:rsid w:val="001C6236"/>
    <w:rsid w:val="001C728D"/>
    <w:rsid w:val="001D6C1C"/>
    <w:rsid w:val="001D7514"/>
    <w:rsid w:val="001E0827"/>
    <w:rsid w:val="001F12E7"/>
    <w:rsid w:val="001F23E3"/>
    <w:rsid w:val="001F2724"/>
    <w:rsid w:val="001F2855"/>
    <w:rsid w:val="001F58F6"/>
    <w:rsid w:val="001F647F"/>
    <w:rsid w:val="001F7800"/>
    <w:rsid w:val="00200327"/>
    <w:rsid w:val="00202547"/>
    <w:rsid w:val="00204F91"/>
    <w:rsid w:val="00205DDD"/>
    <w:rsid w:val="00206EC5"/>
    <w:rsid w:val="00211151"/>
    <w:rsid w:val="00211E7D"/>
    <w:rsid w:val="0021557F"/>
    <w:rsid w:val="00216BCD"/>
    <w:rsid w:val="00217013"/>
    <w:rsid w:val="0022087E"/>
    <w:rsid w:val="002419F3"/>
    <w:rsid w:val="00241A0E"/>
    <w:rsid w:val="0024533F"/>
    <w:rsid w:val="002455CB"/>
    <w:rsid w:val="00256596"/>
    <w:rsid w:val="00256905"/>
    <w:rsid w:val="002573D1"/>
    <w:rsid w:val="00263378"/>
    <w:rsid w:val="00270142"/>
    <w:rsid w:val="00270E66"/>
    <w:rsid w:val="00272256"/>
    <w:rsid w:val="00272F66"/>
    <w:rsid w:val="002730DD"/>
    <w:rsid w:val="00276A78"/>
    <w:rsid w:val="00285146"/>
    <w:rsid w:val="002856E8"/>
    <w:rsid w:val="00291229"/>
    <w:rsid w:val="00291A28"/>
    <w:rsid w:val="00291EA9"/>
    <w:rsid w:val="0029324D"/>
    <w:rsid w:val="002A1076"/>
    <w:rsid w:val="002A10A7"/>
    <w:rsid w:val="002A6B1D"/>
    <w:rsid w:val="002B1E2E"/>
    <w:rsid w:val="002B6971"/>
    <w:rsid w:val="002B6A57"/>
    <w:rsid w:val="002C3AF8"/>
    <w:rsid w:val="002D068B"/>
    <w:rsid w:val="002D37FD"/>
    <w:rsid w:val="002D4B56"/>
    <w:rsid w:val="002D6914"/>
    <w:rsid w:val="002E361F"/>
    <w:rsid w:val="002E3A36"/>
    <w:rsid w:val="002F05D1"/>
    <w:rsid w:val="002F0B76"/>
    <w:rsid w:val="002F590E"/>
    <w:rsid w:val="0030092F"/>
    <w:rsid w:val="00300C57"/>
    <w:rsid w:val="00301551"/>
    <w:rsid w:val="00302DC3"/>
    <w:rsid w:val="003042D8"/>
    <w:rsid w:val="00304C84"/>
    <w:rsid w:val="00305FC7"/>
    <w:rsid w:val="00306E33"/>
    <w:rsid w:val="00310908"/>
    <w:rsid w:val="00310C0F"/>
    <w:rsid w:val="00317448"/>
    <w:rsid w:val="003220A5"/>
    <w:rsid w:val="0032211C"/>
    <w:rsid w:val="00324B37"/>
    <w:rsid w:val="00327128"/>
    <w:rsid w:val="003325FD"/>
    <w:rsid w:val="00332CFB"/>
    <w:rsid w:val="0034798A"/>
    <w:rsid w:val="00347FC2"/>
    <w:rsid w:val="00350FF6"/>
    <w:rsid w:val="00361B7D"/>
    <w:rsid w:val="003679CC"/>
    <w:rsid w:val="00370A34"/>
    <w:rsid w:val="00370D00"/>
    <w:rsid w:val="003712D8"/>
    <w:rsid w:val="00372B6B"/>
    <w:rsid w:val="003733BD"/>
    <w:rsid w:val="00376160"/>
    <w:rsid w:val="003762BD"/>
    <w:rsid w:val="003814CD"/>
    <w:rsid w:val="00381705"/>
    <w:rsid w:val="0038278E"/>
    <w:rsid w:val="003A168A"/>
    <w:rsid w:val="003A2BFC"/>
    <w:rsid w:val="003B1C23"/>
    <w:rsid w:val="003B1CDC"/>
    <w:rsid w:val="003B54E8"/>
    <w:rsid w:val="003B7089"/>
    <w:rsid w:val="003C3CFB"/>
    <w:rsid w:val="003C66C3"/>
    <w:rsid w:val="003C72B9"/>
    <w:rsid w:val="003D21CD"/>
    <w:rsid w:val="003D3FC6"/>
    <w:rsid w:val="003D5FFA"/>
    <w:rsid w:val="003D647F"/>
    <w:rsid w:val="003E0ACF"/>
    <w:rsid w:val="003E491E"/>
    <w:rsid w:val="003E73D0"/>
    <w:rsid w:val="003F3B8A"/>
    <w:rsid w:val="003F4ACE"/>
    <w:rsid w:val="003F6877"/>
    <w:rsid w:val="004001B6"/>
    <w:rsid w:val="004008F3"/>
    <w:rsid w:val="00400C9B"/>
    <w:rsid w:val="00403AB1"/>
    <w:rsid w:val="00407A84"/>
    <w:rsid w:val="00410234"/>
    <w:rsid w:val="00412CB4"/>
    <w:rsid w:val="0041361E"/>
    <w:rsid w:val="004154F5"/>
    <w:rsid w:val="004165BA"/>
    <w:rsid w:val="004166D5"/>
    <w:rsid w:val="00426572"/>
    <w:rsid w:val="00436816"/>
    <w:rsid w:val="004548CA"/>
    <w:rsid w:val="0046101D"/>
    <w:rsid w:val="0046186F"/>
    <w:rsid w:val="00470BE1"/>
    <w:rsid w:val="00470D64"/>
    <w:rsid w:val="00471825"/>
    <w:rsid w:val="00471C25"/>
    <w:rsid w:val="00472137"/>
    <w:rsid w:val="004810D3"/>
    <w:rsid w:val="00482C2A"/>
    <w:rsid w:val="00484282"/>
    <w:rsid w:val="00485E51"/>
    <w:rsid w:val="004866E8"/>
    <w:rsid w:val="00490E0E"/>
    <w:rsid w:val="00491E56"/>
    <w:rsid w:val="00492106"/>
    <w:rsid w:val="00493E10"/>
    <w:rsid w:val="0049788F"/>
    <w:rsid w:val="004A11A3"/>
    <w:rsid w:val="004A32DD"/>
    <w:rsid w:val="004A42C5"/>
    <w:rsid w:val="004A5404"/>
    <w:rsid w:val="004A5954"/>
    <w:rsid w:val="004B6795"/>
    <w:rsid w:val="004C1849"/>
    <w:rsid w:val="004C7870"/>
    <w:rsid w:val="004D1329"/>
    <w:rsid w:val="004D239F"/>
    <w:rsid w:val="004D44BF"/>
    <w:rsid w:val="004D683D"/>
    <w:rsid w:val="004E1FC0"/>
    <w:rsid w:val="004E35F9"/>
    <w:rsid w:val="004E3622"/>
    <w:rsid w:val="004E4024"/>
    <w:rsid w:val="004E7C86"/>
    <w:rsid w:val="004F1718"/>
    <w:rsid w:val="004F6E46"/>
    <w:rsid w:val="004F70FF"/>
    <w:rsid w:val="005011A4"/>
    <w:rsid w:val="00501F33"/>
    <w:rsid w:val="00506736"/>
    <w:rsid w:val="005067E5"/>
    <w:rsid w:val="005117B3"/>
    <w:rsid w:val="005131BA"/>
    <w:rsid w:val="0051362D"/>
    <w:rsid w:val="00517707"/>
    <w:rsid w:val="0052516C"/>
    <w:rsid w:val="00532FE8"/>
    <w:rsid w:val="005356AD"/>
    <w:rsid w:val="00536449"/>
    <w:rsid w:val="00542082"/>
    <w:rsid w:val="005515CF"/>
    <w:rsid w:val="00551861"/>
    <w:rsid w:val="005539AF"/>
    <w:rsid w:val="0055704E"/>
    <w:rsid w:val="00561D42"/>
    <w:rsid w:val="0056421E"/>
    <w:rsid w:val="0056437E"/>
    <w:rsid w:val="00572C4E"/>
    <w:rsid w:val="0057762B"/>
    <w:rsid w:val="00580327"/>
    <w:rsid w:val="005854AE"/>
    <w:rsid w:val="005A2CC8"/>
    <w:rsid w:val="005B64E2"/>
    <w:rsid w:val="005C40B8"/>
    <w:rsid w:val="005C41B1"/>
    <w:rsid w:val="005C51B5"/>
    <w:rsid w:val="005C5F37"/>
    <w:rsid w:val="005C69CD"/>
    <w:rsid w:val="005C7B0C"/>
    <w:rsid w:val="005D2457"/>
    <w:rsid w:val="005D6D22"/>
    <w:rsid w:val="005E31ED"/>
    <w:rsid w:val="005E3CCB"/>
    <w:rsid w:val="005E5833"/>
    <w:rsid w:val="005E5907"/>
    <w:rsid w:val="005E668C"/>
    <w:rsid w:val="005E73A2"/>
    <w:rsid w:val="005F316B"/>
    <w:rsid w:val="00607C1B"/>
    <w:rsid w:val="00610334"/>
    <w:rsid w:val="0061074D"/>
    <w:rsid w:val="006113CB"/>
    <w:rsid w:val="00613084"/>
    <w:rsid w:val="00613B6E"/>
    <w:rsid w:val="00615789"/>
    <w:rsid w:val="00624742"/>
    <w:rsid w:val="00624B60"/>
    <w:rsid w:val="006256E2"/>
    <w:rsid w:val="00625BE7"/>
    <w:rsid w:val="0062764E"/>
    <w:rsid w:val="006276F1"/>
    <w:rsid w:val="006422B0"/>
    <w:rsid w:val="0065068E"/>
    <w:rsid w:val="00661497"/>
    <w:rsid w:val="00661DB6"/>
    <w:rsid w:val="006621EE"/>
    <w:rsid w:val="0066776E"/>
    <w:rsid w:val="00670C9D"/>
    <w:rsid w:val="00674EDF"/>
    <w:rsid w:val="00677582"/>
    <w:rsid w:val="00681874"/>
    <w:rsid w:val="00682B47"/>
    <w:rsid w:val="00685C14"/>
    <w:rsid w:val="006908D2"/>
    <w:rsid w:val="00693A38"/>
    <w:rsid w:val="00695B78"/>
    <w:rsid w:val="006A0638"/>
    <w:rsid w:val="006A6DDF"/>
    <w:rsid w:val="006B5027"/>
    <w:rsid w:val="006B7FA5"/>
    <w:rsid w:val="006C2E33"/>
    <w:rsid w:val="006C3214"/>
    <w:rsid w:val="006D30DC"/>
    <w:rsid w:val="006D46EA"/>
    <w:rsid w:val="006D741B"/>
    <w:rsid w:val="006D77F6"/>
    <w:rsid w:val="006E1E38"/>
    <w:rsid w:val="006F0448"/>
    <w:rsid w:val="006F6FEE"/>
    <w:rsid w:val="00700F04"/>
    <w:rsid w:val="00703783"/>
    <w:rsid w:val="0070622F"/>
    <w:rsid w:val="00711F0F"/>
    <w:rsid w:val="00712050"/>
    <w:rsid w:val="0071260D"/>
    <w:rsid w:val="00714ACC"/>
    <w:rsid w:val="00714AD1"/>
    <w:rsid w:val="0072054E"/>
    <w:rsid w:val="007221AF"/>
    <w:rsid w:val="0072332A"/>
    <w:rsid w:val="0072508D"/>
    <w:rsid w:val="00725651"/>
    <w:rsid w:val="007350ED"/>
    <w:rsid w:val="00735213"/>
    <w:rsid w:val="007452A2"/>
    <w:rsid w:val="0074544C"/>
    <w:rsid w:val="00747F2F"/>
    <w:rsid w:val="00752E18"/>
    <w:rsid w:val="00753EB9"/>
    <w:rsid w:val="00766013"/>
    <w:rsid w:val="007660FF"/>
    <w:rsid w:val="007708B5"/>
    <w:rsid w:val="007743C8"/>
    <w:rsid w:val="00774DBD"/>
    <w:rsid w:val="007766E5"/>
    <w:rsid w:val="0077688A"/>
    <w:rsid w:val="00777CD7"/>
    <w:rsid w:val="007937FA"/>
    <w:rsid w:val="007943CE"/>
    <w:rsid w:val="007961F0"/>
    <w:rsid w:val="0079664B"/>
    <w:rsid w:val="00797E8B"/>
    <w:rsid w:val="007A0E92"/>
    <w:rsid w:val="007B0275"/>
    <w:rsid w:val="007B2677"/>
    <w:rsid w:val="007B3CA3"/>
    <w:rsid w:val="007C4312"/>
    <w:rsid w:val="007C7316"/>
    <w:rsid w:val="007D1680"/>
    <w:rsid w:val="007D44AE"/>
    <w:rsid w:val="007D5230"/>
    <w:rsid w:val="007D619F"/>
    <w:rsid w:val="007D6DEC"/>
    <w:rsid w:val="007D77EC"/>
    <w:rsid w:val="007E4E89"/>
    <w:rsid w:val="007E5EC3"/>
    <w:rsid w:val="00803AC2"/>
    <w:rsid w:val="008116ED"/>
    <w:rsid w:val="00814C05"/>
    <w:rsid w:val="00814EEE"/>
    <w:rsid w:val="00816283"/>
    <w:rsid w:val="0082245C"/>
    <w:rsid w:val="008246DA"/>
    <w:rsid w:val="00825A1B"/>
    <w:rsid w:val="00831F8A"/>
    <w:rsid w:val="00832799"/>
    <w:rsid w:val="008420FD"/>
    <w:rsid w:val="00845310"/>
    <w:rsid w:val="008455D5"/>
    <w:rsid w:val="00850032"/>
    <w:rsid w:val="0085146B"/>
    <w:rsid w:val="00851B97"/>
    <w:rsid w:val="00866EFC"/>
    <w:rsid w:val="00870ED7"/>
    <w:rsid w:val="0087276D"/>
    <w:rsid w:val="008751DC"/>
    <w:rsid w:val="0087577B"/>
    <w:rsid w:val="008827C5"/>
    <w:rsid w:val="00886B8B"/>
    <w:rsid w:val="0089018F"/>
    <w:rsid w:val="00891209"/>
    <w:rsid w:val="00893AB3"/>
    <w:rsid w:val="008A2FA7"/>
    <w:rsid w:val="008B0705"/>
    <w:rsid w:val="008B49B8"/>
    <w:rsid w:val="008B65D4"/>
    <w:rsid w:val="008B799A"/>
    <w:rsid w:val="008C04DA"/>
    <w:rsid w:val="008C0BF7"/>
    <w:rsid w:val="008C1202"/>
    <w:rsid w:val="008C4322"/>
    <w:rsid w:val="008C5193"/>
    <w:rsid w:val="008C5ABA"/>
    <w:rsid w:val="008D1191"/>
    <w:rsid w:val="008D3C22"/>
    <w:rsid w:val="008D58DC"/>
    <w:rsid w:val="008E55B2"/>
    <w:rsid w:val="008E6553"/>
    <w:rsid w:val="008E71CC"/>
    <w:rsid w:val="008F108A"/>
    <w:rsid w:val="008F4B67"/>
    <w:rsid w:val="008F702C"/>
    <w:rsid w:val="009015BC"/>
    <w:rsid w:val="00903D3D"/>
    <w:rsid w:val="00906C8A"/>
    <w:rsid w:val="00907E0D"/>
    <w:rsid w:val="00913FB8"/>
    <w:rsid w:val="009179D5"/>
    <w:rsid w:val="00921793"/>
    <w:rsid w:val="00921A58"/>
    <w:rsid w:val="00925274"/>
    <w:rsid w:val="00927CF3"/>
    <w:rsid w:val="00935235"/>
    <w:rsid w:val="00937806"/>
    <w:rsid w:val="009406C3"/>
    <w:rsid w:val="009423DE"/>
    <w:rsid w:val="009477CB"/>
    <w:rsid w:val="009564F3"/>
    <w:rsid w:val="00960923"/>
    <w:rsid w:val="009672F7"/>
    <w:rsid w:val="0097390A"/>
    <w:rsid w:val="00974ADA"/>
    <w:rsid w:val="009754BA"/>
    <w:rsid w:val="00977B05"/>
    <w:rsid w:val="009813E1"/>
    <w:rsid w:val="0098185F"/>
    <w:rsid w:val="009852ED"/>
    <w:rsid w:val="00990EEE"/>
    <w:rsid w:val="00996665"/>
    <w:rsid w:val="009A2324"/>
    <w:rsid w:val="009A3F41"/>
    <w:rsid w:val="009B0086"/>
    <w:rsid w:val="009B2E39"/>
    <w:rsid w:val="009B43F0"/>
    <w:rsid w:val="009B4AD3"/>
    <w:rsid w:val="009B7759"/>
    <w:rsid w:val="009C7F13"/>
    <w:rsid w:val="009D1353"/>
    <w:rsid w:val="009D15A5"/>
    <w:rsid w:val="009E0958"/>
    <w:rsid w:val="009F184D"/>
    <w:rsid w:val="009F40EC"/>
    <w:rsid w:val="009F4538"/>
    <w:rsid w:val="009F6915"/>
    <w:rsid w:val="00A04FB4"/>
    <w:rsid w:val="00A05A7C"/>
    <w:rsid w:val="00A05D26"/>
    <w:rsid w:val="00A06594"/>
    <w:rsid w:val="00A0665E"/>
    <w:rsid w:val="00A07AAE"/>
    <w:rsid w:val="00A105C4"/>
    <w:rsid w:val="00A10A7C"/>
    <w:rsid w:val="00A10CEF"/>
    <w:rsid w:val="00A15AA6"/>
    <w:rsid w:val="00A15AF0"/>
    <w:rsid w:val="00A237C8"/>
    <w:rsid w:val="00A23B5B"/>
    <w:rsid w:val="00A30563"/>
    <w:rsid w:val="00A34D31"/>
    <w:rsid w:val="00A365AB"/>
    <w:rsid w:val="00A40CBE"/>
    <w:rsid w:val="00A4172E"/>
    <w:rsid w:val="00A47C1E"/>
    <w:rsid w:val="00A47E08"/>
    <w:rsid w:val="00A5413A"/>
    <w:rsid w:val="00A561CB"/>
    <w:rsid w:val="00A57420"/>
    <w:rsid w:val="00A76D38"/>
    <w:rsid w:val="00A81D7A"/>
    <w:rsid w:val="00A83EC6"/>
    <w:rsid w:val="00A87CC9"/>
    <w:rsid w:val="00A92327"/>
    <w:rsid w:val="00AA2AB7"/>
    <w:rsid w:val="00AA74CF"/>
    <w:rsid w:val="00AB1FFA"/>
    <w:rsid w:val="00AB27EB"/>
    <w:rsid w:val="00AB3579"/>
    <w:rsid w:val="00AC0113"/>
    <w:rsid w:val="00AC1754"/>
    <w:rsid w:val="00AC205A"/>
    <w:rsid w:val="00AC48C9"/>
    <w:rsid w:val="00AC60FD"/>
    <w:rsid w:val="00AC7357"/>
    <w:rsid w:val="00AC7F6E"/>
    <w:rsid w:val="00AD0DBE"/>
    <w:rsid w:val="00AD1CED"/>
    <w:rsid w:val="00AD5AE0"/>
    <w:rsid w:val="00AD5CE5"/>
    <w:rsid w:val="00AD717F"/>
    <w:rsid w:val="00AE1738"/>
    <w:rsid w:val="00AE1C45"/>
    <w:rsid w:val="00AE30B9"/>
    <w:rsid w:val="00AE6335"/>
    <w:rsid w:val="00AE70E9"/>
    <w:rsid w:val="00AE7A04"/>
    <w:rsid w:val="00AF51CA"/>
    <w:rsid w:val="00B013BE"/>
    <w:rsid w:val="00B11270"/>
    <w:rsid w:val="00B208C9"/>
    <w:rsid w:val="00B20A57"/>
    <w:rsid w:val="00B24747"/>
    <w:rsid w:val="00B254E1"/>
    <w:rsid w:val="00B31372"/>
    <w:rsid w:val="00B34135"/>
    <w:rsid w:val="00B34644"/>
    <w:rsid w:val="00B36633"/>
    <w:rsid w:val="00B3684B"/>
    <w:rsid w:val="00B52FDE"/>
    <w:rsid w:val="00B5338A"/>
    <w:rsid w:val="00B54F08"/>
    <w:rsid w:val="00B550C1"/>
    <w:rsid w:val="00B67055"/>
    <w:rsid w:val="00B744F7"/>
    <w:rsid w:val="00B75CFC"/>
    <w:rsid w:val="00B76823"/>
    <w:rsid w:val="00B82AC5"/>
    <w:rsid w:val="00B847EC"/>
    <w:rsid w:val="00B864C6"/>
    <w:rsid w:val="00B93734"/>
    <w:rsid w:val="00B96492"/>
    <w:rsid w:val="00B96B3E"/>
    <w:rsid w:val="00B9791A"/>
    <w:rsid w:val="00BA21DC"/>
    <w:rsid w:val="00BA222C"/>
    <w:rsid w:val="00BA3FD2"/>
    <w:rsid w:val="00BA527E"/>
    <w:rsid w:val="00BA683B"/>
    <w:rsid w:val="00BA78EB"/>
    <w:rsid w:val="00BB3DB8"/>
    <w:rsid w:val="00BB62F7"/>
    <w:rsid w:val="00BB77DE"/>
    <w:rsid w:val="00BB7D5B"/>
    <w:rsid w:val="00BC1308"/>
    <w:rsid w:val="00BD44A4"/>
    <w:rsid w:val="00BD533D"/>
    <w:rsid w:val="00BD5AB4"/>
    <w:rsid w:val="00BD71F0"/>
    <w:rsid w:val="00BE182E"/>
    <w:rsid w:val="00BE23D8"/>
    <w:rsid w:val="00BE2EEA"/>
    <w:rsid w:val="00BE3695"/>
    <w:rsid w:val="00BF3E4E"/>
    <w:rsid w:val="00BF4688"/>
    <w:rsid w:val="00BF552B"/>
    <w:rsid w:val="00BF678E"/>
    <w:rsid w:val="00C01E81"/>
    <w:rsid w:val="00C037DE"/>
    <w:rsid w:val="00C0700D"/>
    <w:rsid w:val="00C07FB7"/>
    <w:rsid w:val="00C15B2C"/>
    <w:rsid w:val="00C205CF"/>
    <w:rsid w:val="00C2097E"/>
    <w:rsid w:val="00C21164"/>
    <w:rsid w:val="00C21DF5"/>
    <w:rsid w:val="00C22E71"/>
    <w:rsid w:val="00C23032"/>
    <w:rsid w:val="00C27E3A"/>
    <w:rsid w:val="00C44DDF"/>
    <w:rsid w:val="00C45462"/>
    <w:rsid w:val="00C45B4C"/>
    <w:rsid w:val="00C4722E"/>
    <w:rsid w:val="00C532F8"/>
    <w:rsid w:val="00C54168"/>
    <w:rsid w:val="00C64B21"/>
    <w:rsid w:val="00C64ED5"/>
    <w:rsid w:val="00C723B0"/>
    <w:rsid w:val="00C74B13"/>
    <w:rsid w:val="00C810F4"/>
    <w:rsid w:val="00C82ED0"/>
    <w:rsid w:val="00C85C60"/>
    <w:rsid w:val="00C8602D"/>
    <w:rsid w:val="00CA10D8"/>
    <w:rsid w:val="00CA36AE"/>
    <w:rsid w:val="00CA575C"/>
    <w:rsid w:val="00CA5F46"/>
    <w:rsid w:val="00CB1181"/>
    <w:rsid w:val="00CB1F61"/>
    <w:rsid w:val="00CB2931"/>
    <w:rsid w:val="00CB3899"/>
    <w:rsid w:val="00CC766A"/>
    <w:rsid w:val="00CD090B"/>
    <w:rsid w:val="00CD0C4F"/>
    <w:rsid w:val="00CD0D2A"/>
    <w:rsid w:val="00CD2825"/>
    <w:rsid w:val="00CD37DD"/>
    <w:rsid w:val="00CD4D7B"/>
    <w:rsid w:val="00CD6FDE"/>
    <w:rsid w:val="00CE04B6"/>
    <w:rsid w:val="00CE0C52"/>
    <w:rsid w:val="00CE0D74"/>
    <w:rsid w:val="00CE3516"/>
    <w:rsid w:val="00CE380B"/>
    <w:rsid w:val="00CE7F41"/>
    <w:rsid w:val="00CF5782"/>
    <w:rsid w:val="00CF6A77"/>
    <w:rsid w:val="00D00B0A"/>
    <w:rsid w:val="00D01E14"/>
    <w:rsid w:val="00D069B6"/>
    <w:rsid w:val="00D06B72"/>
    <w:rsid w:val="00D06BDD"/>
    <w:rsid w:val="00D10FFA"/>
    <w:rsid w:val="00D153F1"/>
    <w:rsid w:val="00D174BC"/>
    <w:rsid w:val="00D224AA"/>
    <w:rsid w:val="00D2307F"/>
    <w:rsid w:val="00D32302"/>
    <w:rsid w:val="00D34946"/>
    <w:rsid w:val="00D43F3D"/>
    <w:rsid w:val="00D522C7"/>
    <w:rsid w:val="00D533B6"/>
    <w:rsid w:val="00D56ED4"/>
    <w:rsid w:val="00D61BCE"/>
    <w:rsid w:val="00D64D35"/>
    <w:rsid w:val="00D70A6A"/>
    <w:rsid w:val="00D73B9E"/>
    <w:rsid w:val="00D7466A"/>
    <w:rsid w:val="00D7473C"/>
    <w:rsid w:val="00D74987"/>
    <w:rsid w:val="00D765A5"/>
    <w:rsid w:val="00D824A0"/>
    <w:rsid w:val="00D84479"/>
    <w:rsid w:val="00D8594A"/>
    <w:rsid w:val="00D861B9"/>
    <w:rsid w:val="00D87319"/>
    <w:rsid w:val="00D91D28"/>
    <w:rsid w:val="00D92B2E"/>
    <w:rsid w:val="00D935BB"/>
    <w:rsid w:val="00D95711"/>
    <w:rsid w:val="00D9754E"/>
    <w:rsid w:val="00DA3090"/>
    <w:rsid w:val="00DA4AE0"/>
    <w:rsid w:val="00DA740A"/>
    <w:rsid w:val="00DB5063"/>
    <w:rsid w:val="00DB770A"/>
    <w:rsid w:val="00DB78B0"/>
    <w:rsid w:val="00DC5589"/>
    <w:rsid w:val="00DC7507"/>
    <w:rsid w:val="00DD42E8"/>
    <w:rsid w:val="00DD44E0"/>
    <w:rsid w:val="00DE222D"/>
    <w:rsid w:val="00DE567D"/>
    <w:rsid w:val="00DE5A17"/>
    <w:rsid w:val="00DE757F"/>
    <w:rsid w:val="00DF1586"/>
    <w:rsid w:val="00E010BB"/>
    <w:rsid w:val="00E0676A"/>
    <w:rsid w:val="00E06C9A"/>
    <w:rsid w:val="00E06E9C"/>
    <w:rsid w:val="00E07EFC"/>
    <w:rsid w:val="00E10869"/>
    <w:rsid w:val="00E109E2"/>
    <w:rsid w:val="00E135EE"/>
    <w:rsid w:val="00E15D3F"/>
    <w:rsid w:val="00E206C0"/>
    <w:rsid w:val="00E33D76"/>
    <w:rsid w:val="00E4277E"/>
    <w:rsid w:val="00E44342"/>
    <w:rsid w:val="00E44843"/>
    <w:rsid w:val="00E45A0E"/>
    <w:rsid w:val="00E52C47"/>
    <w:rsid w:val="00E5416E"/>
    <w:rsid w:val="00E60225"/>
    <w:rsid w:val="00E72499"/>
    <w:rsid w:val="00E74E9F"/>
    <w:rsid w:val="00E7592D"/>
    <w:rsid w:val="00E82AD2"/>
    <w:rsid w:val="00E87C44"/>
    <w:rsid w:val="00E92B26"/>
    <w:rsid w:val="00E9371F"/>
    <w:rsid w:val="00E970CE"/>
    <w:rsid w:val="00EA2470"/>
    <w:rsid w:val="00EA25EF"/>
    <w:rsid w:val="00EA279B"/>
    <w:rsid w:val="00EA2F6F"/>
    <w:rsid w:val="00EC03A7"/>
    <w:rsid w:val="00EC3728"/>
    <w:rsid w:val="00EC4078"/>
    <w:rsid w:val="00EC4C5A"/>
    <w:rsid w:val="00ED107C"/>
    <w:rsid w:val="00ED14EB"/>
    <w:rsid w:val="00ED2FF4"/>
    <w:rsid w:val="00ED7E61"/>
    <w:rsid w:val="00EE13C3"/>
    <w:rsid w:val="00EE2693"/>
    <w:rsid w:val="00EE7E4D"/>
    <w:rsid w:val="00EF3E88"/>
    <w:rsid w:val="00EF5192"/>
    <w:rsid w:val="00F0420F"/>
    <w:rsid w:val="00F04D02"/>
    <w:rsid w:val="00F066D4"/>
    <w:rsid w:val="00F2430A"/>
    <w:rsid w:val="00F247AB"/>
    <w:rsid w:val="00F302BC"/>
    <w:rsid w:val="00F3542E"/>
    <w:rsid w:val="00F40E41"/>
    <w:rsid w:val="00F41FF2"/>
    <w:rsid w:val="00F42B33"/>
    <w:rsid w:val="00F431B2"/>
    <w:rsid w:val="00F43C90"/>
    <w:rsid w:val="00F44A6A"/>
    <w:rsid w:val="00F47EAF"/>
    <w:rsid w:val="00F561F1"/>
    <w:rsid w:val="00F636AD"/>
    <w:rsid w:val="00F6442E"/>
    <w:rsid w:val="00F65967"/>
    <w:rsid w:val="00F66DD7"/>
    <w:rsid w:val="00F70A9B"/>
    <w:rsid w:val="00F75AA7"/>
    <w:rsid w:val="00F80049"/>
    <w:rsid w:val="00F81AC2"/>
    <w:rsid w:val="00F82DA5"/>
    <w:rsid w:val="00F85F64"/>
    <w:rsid w:val="00F85F7A"/>
    <w:rsid w:val="00F87A26"/>
    <w:rsid w:val="00FA65DF"/>
    <w:rsid w:val="00FA7C87"/>
    <w:rsid w:val="00FB552F"/>
    <w:rsid w:val="00FC01DC"/>
    <w:rsid w:val="00FC04EA"/>
    <w:rsid w:val="00FC2B32"/>
    <w:rsid w:val="00FC3BE0"/>
    <w:rsid w:val="00FC5591"/>
    <w:rsid w:val="00FC79A7"/>
    <w:rsid w:val="00FD16C7"/>
    <w:rsid w:val="00FD2D29"/>
    <w:rsid w:val="00FD7081"/>
    <w:rsid w:val="00FE044C"/>
    <w:rsid w:val="00FE21E3"/>
    <w:rsid w:val="00FE2A0C"/>
    <w:rsid w:val="00FE3A4D"/>
    <w:rsid w:val="00FE7149"/>
    <w:rsid w:val="00FF0821"/>
    <w:rsid w:val="00FF0E60"/>
    <w:rsid w:val="02A544A8"/>
    <w:rsid w:val="03BF0C10"/>
    <w:rsid w:val="050E3ADE"/>
    <w:rsid w:val="07282055"/>
    <w:rsid w:val="0E8D1EBF"/>
    <w:rsid w:val="12201D54"/>
    <w:rsid w:val="15C745A0"/>
    <w:rsid w:val="17375756"/>
    <w:rsid w:val="1776627E"/>
    <w:rsid w:val="18613716"/>
    <w:rsid w:val="18710407"/>
    <w:rsid w:val="18CF3697"/>
    <w:rsid w:val="1B667402"/>
    <w:rsid w:val="1C4B6BE5"/>
    <w:rsid w:val="23AC69A3"/>
    <w:rsid w:val="242764A2"/>
    <w:rsid w:val="2AD63520"/>
    <w:rsid w:val="2F3B0709"/>
    <w:rsid w:val="2FA82D2F"/>
    <w:rsid w:val="32952849"/>
    <w:rsid w:val="3954195E"/>
    <w:rsid w:val="39FD43D2"/>
    <w:rsid w:val="45695B71"/>
    <w:rsid w:val="4F3A0C02"/>
    <w:rsid w:val="51D11D27"/>
    <w:rsid w:val="51F826A0"/>
    <w:rsid w:val="531F5361"/>
    <w:rsid w:val="537C13ED"/>
    <w:rsid w:val="56475E57"/>
    <w:rsid w:val="571A5E14"/>
    <w:rsid w:val="5AB50438"/>
    <w:rsid w:val="5B6D7141"/>
    <w:rsid w:val="5C255486"/>
    <w:rsid w:val="5DD777AB"/>
    <w:rsid w:val="5E55774C"/>
    <w:rsid w:val="60667A60"/>
    <w:rsid w:val="62215320"/>
    <w:rsid w:val="68837B3A"/>
    <w:rsid w:val="699948E1"/>
    <w:rsid w:val="6A8D54E1"/>
    <w:rsid w:val="6B761A88"/>
    <w:rsid w:val="6BBE2E5D"/>
    <w:rsid w:val="6E1F45FB"/>
    <w:rsid w:val="6F3457AC"/>
    <w:rsid w:val="6F501C28"/>
    <w:rsid w:val="724C31A9"/>
    <w:rsid w:val="75693C7A"/>
    <w:rsid w:val="7980303E"/>
    <w:rsid w:val="7AB6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endnote text"/>
    <w:basedOn w:val="1"/>
    <w:link w:val="24"/>
    <w:semiHidden/>
    <w:unhideWhenUsed/>
    <w:qFormat/>
    <w:uiPriority w:val="99"/>
    <w:pPr>
      <w:snapToGrid w:val="0"/>
      <w:jc w:val="left"/>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footnote text"/>
    <w:basedOn w:val="1"/>
    <w:link w:val="19"/>
    <w:semiHidden/>
    <w:unhideWhenUsed/>
    <w:qFormat/>
    <w:uiPriority w:val="99"/>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9">
    <w:name w:val="annotation subject"/>
    <w:basedOn w:val="3"/>
    <w:next w:val="3"/>
    <w:link w:val="26"/>
    <w:semiHidden/>
    <w:unhideWhenUsed/>
    <w:qFormat/>
    <w:uiPriority w:val="99"/>
    <w:rPr>
      <w:b/>
      <w:bCs/>
    </w:rPr>
  </w:style>
  <w:style w:type="character" w:styleId="12">
    <w:name w:val="Strong"/>
    <w:basedOn w:val="11"/>
    <w:qFormat/>
    <w:uiPriority w:val="22"/>
    <w:rPr>
      <w:b/>
      <w:bCs/>
    </w:rPr>
  </w:style>
  <w:style w:type="character" w:styleId="13">
    <w:name w:val="endnote reference"/>
    <w:basedOn w:val="11"/>
    <w:semiHidden/>
    <w:unhideWhenUsed/>
    <w:qFormat/>
    <w:uiPriority w:val="99"/>
    <w:rPr>
      <w:vertAlign w:val="superscript"/>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脚注文本 字符"/>
    <w:basedOn w:val="11"/>
    <w:link w:val="7"/>
    <w:semiHidden/>
    <w:qFormat/>
    <w:uiPriority w:val="99"/>
    <w:rPr>
      <w:sz w:val="18"/>
      <w:szCs w:val="18"/>
    </w:rPr>
  </w:style>
  <w:style w:type="paragraph" w:customStyle="1" w:styleId="20">
    <w:name w:val="EndNote Bibliography Title"/>
    <w:basedOn w:val="1"/>
    <w:link w:val="21"/>
    <w:qFormat/>
    <w:uiPriority w:val="0"/>
    <w:pPr>
      <w:jc w:val="center"/>
    </w:pPr>
    <w:rPr>
      <w:rFonts w:ascii="等线" w:hAnsi="等线" w:eastAsia="等线"/>
      <w:sz w:val="20"/>
    </w:rPr>
  </w:style>
  <w:style w:type="character" w:customStyle="1" w:styleId="21">
    <w:name w:val="EndNote Bibliography Title 字符"/>
    <w:basedOn w:val="19"/>
    <w:link w:val="20"/>
    <w:qFormat/>
    <w:uiPriority w:val="0"/>
    <w:rPr>
      <w:rFonts w:ascii="等线" w:hAnsi="等线" w:eastAsia="等线"/>
      <w:sz w:val="20"/>
      <w:szCs w:val="18"/>
    </w:rPr>
  </w:style>
  <w:style w:type="paragraph" w:customStyle="1" w:styleId="22">
    <w:name w:val="EndNote Bibliography"/>
    <w:basedOn w:val="1"/>
    <w:link w:val="23"/>
    <w:qFormat/>
    <w:uiPriority w:val="0"/>
    <w:rPr>
      <w:rFonts w:ascii="等线" w:hAnsi="等线" w:eastAsia="等线"/>
      <w:sz w:val="20"/>
    </w:rPr>
  </w:style>
  <w:style w:type="character" w:customStyle="1" w:styleId="23">
    <w:name w:val="EndNote Bibliography 字符"/>
    <w:basedOn w:val="19"/>
    <w:link w:val="22"/>
    <w:qFormat/>
    <w:uiPriority w:val="0"/>
    <w:rPr>
      <w:rFonts w:ascii="等线" w:hAnsi="等线" w:eastAsia="等线"/>
      <w:sz w:val="20"/>
      <w:szCs w:val="18"/>
    </w:rPr>
  </w:style>
  <w:style w:type="character" w:customStyle="1" w:styleId="24">
    <w:name w:val="尾注文本 字符"/>
    <w:basedOn w:val="11"/>
    <w:link w:val="4"/>
    <w:semiHidden/>
    <w:qFormat/>
    <w:uiPriority w:val="99"/>
  </w:style>
  <w:style w:type="character" w:customStyle="1" w:styleId="25">
    <w:name w:val="批注文字 字符"/>
    <w:basedOn w:val="11"/>
    <w:link w:val="3"/>
    <w:qFormat/>
    <w:uiPriority w:val="99"/>
  </w:style>
  <w:style w:type="character" w:customStyle="1" w:styleId="26">
    <w:name w:val="批注主题 字符"/>
    <w:basedOn w:val="25"/>
    <w:link w:val="9"/>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4654</Words>
  <Characters>4761</Characters>
  <Lines>44</Lines>
  <Paragraphs>12</Paragraphs>
  <TotalTime>3</TotalTime>
  <ScaleCrop>false</ScaleCrop>
  <LinksUpToDate>false</LinksUpToDate>
  <CharactersWithSpaces>4808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2024-01-13T12:36:00Z</dcterms:created>
  <dc:creator>lenovo</dc:creator>
  <cp:lastModifiedBy>WPS_1693823212</cp:lastModifiedBy>
  <dcterms:modified xsi:type="dcterms:W3CDTF">2025-01-15T09:11:33Z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BED9977E54D6437CB38A92C1E523ABDC_12</vt:lpwstr>
  </property>
  <property fmtid="{D5CDD505-2E9C-101B-9397-08002B2CF9AE}" pid="4" name="KSOTemplateDocerSaveRecord">
    <vt:lpwstr>eyJoZGlkIjoiOWQwZWFjNTJjMzFlODExZWE3MzBiMDgwNzU2OGIzNWEiLCJ1c2VySWQiOiIxNTI3OTcyNTY4In0=</vt:lpwstr>
  </property>
</Properties>
</file>