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atLeast"/>
        <w:ind w:firstLine="723" w:firstLineChars="200"/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 xml:space="preserve">事意分定：令曲与慢词的结构组织与情绪表达   </w:t>
      </w:r>
    </w:p>
    <w:p>
      <w:pPr>
        <w:pStyle w:val="2"/>
        <w:spacing w:line="400" w:lineRule="atLeast"/>
        <w:ind w:firstLine="723" w:firstLineChars="200"/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——以秦观《望海潮》《千秋岁》为例</w:t>
      </w:r>
    </w:p>
    <w:p>
      <w:pPr>
        <w:spacing w:line="400" w:lineRule="atLeast"/>
        <w:ind w:firstLine="562" w:firstLineChars="200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金心远  233300110075  23级汉语言文学</w:t>
      </w:r>
    </w:p>
    <w:p>
      <w:pPr>
        <w:spacing w:line="400" w:lineRule="atLeast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spacing w:line="400" w:lineRule="atLeast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pStyle w:val="3"/>
        <w:numPr>
          <w:ilvl w:val="0"/>
          <w:numId w:val="1"/>
        </w:numPr>
        <w:spacing w:line="400" w:lineRule="atLeas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引言</w:t>
      </w:r>
    </w:p>
    <w:p>
      <w:pPr>
        <w:spacing w:line="40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沈义父《乐府指迷》</w:t>
      </w:r>
      <w:r>
        <w:rPr>
          <w:rFonts w:ascii="宋体" w:hAnsi="宋体" w:eastAsia="宋体"/>
          <w:sz w:val="28"/>
          <w:szCs w:val="28"/>
        </w:rPr>
        <w:t>“作大词,先须</w:t>
      </w:r>
      <w:r>
        <w:rPr>
          <w:rFonts w:hint="eastAsia" w:ascii="宋体" w:hAnsi="宋体" w:eastAsia="宋体"/>
          <w:sz w:val="28"/>
          <w:szCs w:val="28"/>
        </w:rPr>
        <w:t>立间架</w:t>
      </w:r>
      <w:r>
        <w:rPr>
          <w:rFonts w:ascii="宋体" w:hAnsi="宋体" w:eastAsia="宋体"/>
          <w:sz w:val="28"/>
          <w:szCs w:val="28"/>
        </w:rPr>
        <w:t>,将事与意分定了。第一要起得好,中间只铺叙,过处要清新,</w:t>
      </w:r>
      <w:r>
        <w:rPr>
          <w:rFonts w:hint="eastAsia" w:ascii="宋体" w:hAnsi="宋体" w:eastAsia="宋体"/>
          <w:sz w:val="28"/>
          <w:szCs w:val="28"/>
        </w:rPr>
        <w:t>最紧要是末句</w:t>
      </w:r>
      <w:r>
        <w:rPr>
          <w:rFonts w:ascii="宋体" w:hAnsi="宋体" w:eastAsia="宋体"/>
          <w:sz w:val="28"/>
          <w:szCs w:val="28"/>
        </w:rPr>
        <w:t>,须是有一好出场方妙。小词只要些新意,不可太高</w:t>
      </w:r>
      <w:r>
        <w:rPr>
          <w:rFonts w:hint="eastAsia" w:ascii="宋体" w:hAnsi="宋体" w:eastAsia="宋体"/>
          <w:sz w:val="28"/>
          <w:szCs w:val="28"/>
        </w:rPr>
        <w:t>远</w:t>
      </w:r>
      <w:r>
        <w:rPr>
          <w:rFonts w:ascii="宋体" w:hAnsi="宋体" w:eastAsia="宋体"/>
          <w:sz w:val="28"/>
          <w:szCs w:val="28"/>
        </w:rPr>
        <w:t>,却易得古人句,同一要炼句。”</w:t>
      </w:r>
      <w:r>
        <w:rPr>
          <w:rStyle w:val="9"/>
          <w:rFonts w:ascii="宋体" w:hAnsi="宋体" w:eastAsia="宋体"/>
          <w:sz w:val="28"/>
          <w:szCs w:val="28"/>
        </w:rPr>
        <w:footnoteReference w:id="0"/>
      </w:r>
      <w:r>
        <w:rPr>
          <w:rFonts w:hint="eastAsia" w:ascii="宋体" w:hAnsi="宋体" w:eastAsia="宋体"/>
          <w:sz w:val="28"/>
          <w:szCs w:val="28"/>
        </w:rPr>
        <w:t>对令曲和慢词的“事意分定”提出了不同的要求：写作慢词时，对事和意的间架需要仔细构思，而令曲则可即景抒情，一气而成。</w:t>
      </w:r>
    </w:p>
    <w:p>
      <w:pPr>
        <w:spacing w:line="40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因结构组织方式不同，令曲和慢词的情绪表达便也显出差异：令曲作法如诗中绝句，即景抒情，体认和捕捉刹那情感；长调作法略似诗中律诗，注重结构安排，通过敷衍铺排、时空交错以得顿挫潜转之妙，一咏三叹。</w:t>
      </w:r>
    </w:p>
    <w:p>
      <w:pPr>
        <w:spacing w:line="40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即便是对类似情感的书写和类似意象的拼和，令曲与慢词结构组织和情绪表达的差异仍然是很显豁的。本文试图比照秦观的《千秋岁·水边沙外》与《望海潮·梅英疏淡》，探究二者“事意分定”的差别。</w:t>
      </w:r>
    </w:p>
    <w:p>
      <w:pPr>
        <w:spacing w:line="400" w:lineRule="atLeast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spacing w:line="400" w:lineRule="atLeast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pStyle w:val="3"/>
        <w:numPr>
          <w:ilvl w:val="0"/>
          <w:numId w:val="1"/>
        </w:numPr>
        <w:spacing w:line="400" w:lineRule="atLeas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《千秋岁》《望海潮》之“令”“慢”性质</w:t>
      </w:r>
    </w:p>
    <w:p>
      <w:pPr>
        <w:spacing w:line="40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在做令曲和慢词的词体划分时，本文主要参考《朝野与雅俗</w:t>
      </w:r>
      <w:r>
        <w:rPr>
          <w:rFonts w:ascii="宋体" w:hAnsi="宋体" w:eastAsia="宋体"/>
          <w:sz w:val="28"/>
          <w:szCs w:val="28"/>
        </w:rPr>
        <w:t>:宋真宗至高宗朝词坛生</w:t>
      </w:r>
      <w:r>
        <w:rPr>
          <w:rFonts w:hint="eastAsia" w:ascii="宋体" w:hAnsi="宋体" w:eastAsia="宋体"/>
          <w:sz w:val="28"/>
          <w:szCs w:val="28"/>
        </w:rPr>
        <w:t>态与词体雅化研究》一书：“</w:t>
      </w:r>
      <w:r>
        <w:rPr>
          <w:rFonts w:ascii="宋体" w:hAnsi="宋体" w:eastAsia="宋体"/>
          <w:sz w:val="28"/>
          <w:szCs w:val="28"/>
        </w:rPr>
        <w:t>令曲即多体制短小,以单式句为主,节</w:t>
      </w:r>
      <w:r>
        <w:rPr>
          <w:rFonts w:hint="eastAsia" w:ascii="宋体" w:hAnsi="宋体" w:eastAsia="宋体"/>
          <w:sz w:val="28"/>
          <w:szCs w:val="28"/>
        </w:rPr>
        <w:t>奏上接近于近体诗的词调</w:t>
      </w:r>
      <w:r>
        <w:rPr>
          <w:rFonts w:ascii="宋体" w:hAnsi="宋体" w:eastAsia="宋体"/>
          <w:sz w:val="28"/>
          <w:szCs w:val="28"/>
        </w:rPr>
        <w:t>;慢词则体制较长,以双式句为主,富有歌</w:t>
      </w:r>
      <w:r>
        <w:rPr>
          <w:rFonts w:hint="eastAsia" w:ascii="宋体" w:hAnsi="宋体" w:eastAsia="宋体"/>
          <w:sz w:val="28"/>
          <w:szCs w:val="28"/>
        </w:rPr>
        <w:t>词特色节奏的词调”</w:t>
      </w:r>
      <w:r>
        <w:rPr>
          <w:rStyle w:val="9"/>
          <w:rFonts w:ascii="宋体" w:hAnsi="宋体" w:eastAsia="宋体"/>
          <w:sz w:val="28"/>
          <w:szCs w:val="28"/>
        </w:rPr>
        <w:footnoteReference w:id="1"/>
      </w:r>
      <w:r>
        <w:rPr>
          <w:rFonts w:hint="eastAsia" w:ascii="宋体" w:hAnsi="宋体" w:eastAsia="宋体"/>
          <w:sz w:val="28"/>
          <w:szCs w:val="28"/>
        </w:rPr>
        <w:t>。据此，本文将《千秋岁》归入令曲，将《望海潮》归入慢词。</w:t>
      </w:r>
    </w:p>
    <w:p>
      <w:pPr>
        <w:spacing w:line="40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《千秋岁》始词为张先所作，以秦观《千秋岁·水边沙外》为正体。据张先、苏轼、</w:t>
      </w:r>
      <w:r>
        <w:rPr>
          <w:rFonts w:ascii="宋体" w:hAnsi="宋体" w:eastAsia="宋体"/>
          <w:sz w:val="28"/>
          <w:szCs w:val="28"/>
        </w:rPr>
        <w:t>黄庭坚、李之仪、孔平仲</w:t>
      </w:r>
      <w:r>
        <w:rPr>
          <w:rFonts w:hint="eastAsia" w:ascii="宋体" w:hAnsi="宋体" w:eastAsia="宋体"/>
          <w:sz w:val="28"/>
          <w:szCs w:val="28"/>
        </w:rPr>
        <w:t>等人的同调作品可推知，该词调为悲调，在秦观身逝后多用于悼亡。</w:t>
      </w:r>
      <w:r>
        <w:rPr>
          <w:rFonts w:ascii="宋体" w:hAnsi="宋体" w:eastAsia="宋体"/>
          <w:sz w:val="28"/>
          <w:szCs w:val="28"/>
        </w:rPr>
        <w:t>此调为重头曲，以奇句为主，第三、四句为两个三字句甚起调，结句为三字句与七字句相配，足以表达激烈之情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Style w:val="9"/>
          <w:rFonts w:ascii="宋体" w:hAnsi="宋体" w:eastAsia="宋体"/>
          <w:sz w:val="28"/>
          <w:szCs w:val="28"/>
        </w:rPr>
        <w:footnoteReference w:id="2"/>
      </w:r>
      <w:r>
        <w:rPr>
          <w:rFonts w:hint="eastAsia" w:ascii="宋体" w:hAnsi="宋体" w:eastAsia="宋体"/>
          <w:sz w:val="28"/>
          <w:szCs w:val="28"/>
        </w:rPr>
        <w:t>《千秋岁》共七十一字，为中调，但因单式</w:t>
      </w:r>
      <w:r>
        <w:rPr>
          <w:rFonts w:ascii="宋体" w:hAnsi="宋体" w:eastAsia="宋体"/>
          <w:sz w:val="28"/>
          <w:szCs w:val="28"/>
        </w:rPr>
        <w:t>句</w:t>
      </w:r>
      <w:r>
        <w:rPr>
          <w:rFonts w:hint="eastAsia" w:ascii="宋体" w:hAnsi="宋体" w:eastAsia="宋体"/>
          <w:sz w:val="28"/>
          <w:szCs w:val="28"/>
        </w:rPr>
        <w:t>较多，节奏短快，故划分入令曲。</w:t>
      </w:r>
    </w:p>
    <w:p>
      <w:pPr>
        <w:spacing w:line="40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《望海潮》以柳永《望海潮·东南形胜》为创调之作并通用正体，全词一百零七字，多</w:t>
      </w:r>
      <w:r>
        <w:rPr>
          <w:rFonts w:ascii="宋体" w:hAnsi="宋体" w:eastAsia="宋体"/>
          <w:sz w:val="28"/>
          <w:szCs w:val="28"/>
        </w:rPr>
        <w:t>双式句</w:t>
      </w:r>
      <w:r>
        <w:rPr>
          <w:rFonts w:hint="eastAsia" w:ascii="宋体" w:hAnsi="宋体" w:eastAsia="宋体"/>
          <w:sz w:val="28"/>
          <w:szCs w:val="28"/>
        </w:rPr>
        <w:t>，多对句，常有“一对一收”的组句，节奏舒缓雍容，故划分入慢词。</w:t>
      </w:r>
    </w:p>
    <w:p>
      <w:pPr>
        <w:spacing w:line="400" w:lineRule="atLeast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spacing w:line="400" w:lineRule="atLeast"/>
        <w:rPr>
          <w:rFonts w:ascii="宋体" w:hAnsi="宋体" w:eastAsia="宋体"/>
          <w:sz w:val="28"/>
          <w:szCs w:val="28"/>
        </w:rPr>
      </w:pPr>
    </w:p>
    <w:p>
      <w:pPr>
        <w:pStyle w:val="3"/>
        <w:numPr>
          <w:ilvl w:val="0"/>
          <w:numId w:val="1"/>
        </w:numPr>
        <w:spacing w:line="400" w:lineRule="atLeas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秦观《望海潮·梅英疏淡》《千秋岁·水边沙外》比照</w:t>
      </w:r>
    </w:p>
    <w:p>
      <w:pPr>
        <w:spacing w:line="400" w:lineRule="atLeast"/>
        <w:ind w:firstLine="560" w:firstLineChars="200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望海潮·梅英疏淡</w:t>
      </w:r>
    </w:p>
    <w:p>
      <w:pPr>
        <w:spacing w:line="400" w:lineRule="atLeast"/>
        <w:ind w:firstLine="560" w:firstLineChars="200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梅英疏淡，冰澌溶泄，东风暗换年华。金谷俊游，铜驼巷陌，新晴细履平沙。长记误随车。正絮翻蝶舞，芳思交加。柳下桃蹊，乱分春色到人家。</w:t>
      </w:r>
    </w:p>
    <w:p>
      <w:pPr>
        <w:spacing w:line="400" w:lineRule="atLeast"/>
        <w:ind w:firstLine="560" w:firstLineChars="200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西园夜饮鸣笳。有华灯碍月，飞盖妨花。兰苑未空，行人渐老，重来是事堪嗟。烟暝酒旗斜。但倚楼极目，时见鸦。无奈归心，暗随流水到天涯。</w:t>
      </w:r>
      <w:r>
        <w:rPr>
          <w:rFonts w:ascii="楷体" w:hAnsi="楷体" w:eastAsia="楷体"/>
          <w:sz w:val="28"/>
          <w:szCs w:val="28"/>
          <w:vertAlign w:val="superscript"/>
        </w:rPr>
        <w:footnoteReference w:id="3"/>
      </w:r>
    </w:p>
    <w:p>
      <w:pPr>
        <w:spacing w:line="400" w:lineRule="atLeast"/>
        <w:rPr>
          <w:rFonts w:ascii="楷体" w:hAnsi="楷体" w:eastAsia="楷体"/>
          <w:sz w:val="28"/>
          <w:szCs w:val="28"/>
        </w:rPr>
      </w:pPr>
    </w:p>
    <w:p>
      <w:pPr>
        <w:spacing w:line="400" w:lineRule="atLeast"/>
        <w:ind w:firstLine="560" w:firstLineChars="200"/>
        <w:jc w:val="center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千秋岁·水边沙外</w:t>
      </w:r>
    </w:p>
    <w:p>
      <w:pPr>
        <w:spacing w:line="400" w:lineRule="atLeast"/>
        <w:ind w:firstLine="560" w:firstLineChars="200"/>
        <w:jc w:val="center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水边沙外。城郭春寒退。花影乱，莺声碎。飘零疏酒盏，离别宽衣带。人不见，碧云暮合空相对。</w:t>
      </w:r>
      <w:r>
        <w:rPr>
          <w:rFonts w:ascii="楷体" w:hAnsi="楷体" w:eastAsia="楷体"/>
          <w:sz w:val="28"/>
          <w:szCs w:val="28"/>
        </w:rPr>
        <w:br w:type="textWrapping"/>
      </w:r>
      <w:r>
        <w:rPr>
          <w:rFonts w:ascii="楷体" w:hAnsi="楷体" w:eastAsia="楷体"/>
          <w:sz w:val="28"/>
          <w:szCs w:val="28"/>
        </w:rPr>
        <w:t>忆昔西池会。鹓鹭同飞盖。携手处，今谁在。日边清梦断，镜里朱颜改。春去也，飞红万点愁如海。</w:t>
      </w:r>
      <w:r>
        <w:rPr>
          <w:rStyle w:val="9"/>
          <w:rFonts w:ascii="楷体" w:hAnsi="楷体" w:eastAsia="楷体"/>
          <w:sz w:val="28"/>
          <w:szCs w:val="28"/>
        </w:rPr>
        <w:footnoteReference w:id="4"/>
      </w:r>
    </w:p>
    <w:p>
      <w:pPr>
        <w:spacing w:line="400" w:lineRule="atLeast"/>
        <w:rPr>
          <w:rFonts w:ascii="宋体" w:hAnsi="宋体" w:eastAsia="宋体"/>
          <w:sz w:val="28"/>
          <w:szCs w:val="28"/>
        </w:rPr>
      </w:pPr>
    </w:p>
    <w:p>
      <w:pPr>
        <w:spacing w:line="40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这两首词皆作于秦观遭受政治打击之际。绍圣党禁中，以苏轼为代表的旧党被驱逐出核心政治舞台，并遭一再追贬，很多人终因老病而死于谪居之地或左迁之途，在生命的最后饱尝失意和沉沦。有些人能够朗然况怀，接受现实；有些人却郁懑难遣，哀不能抑。秦观就是后者的一员。其前期词作浅俗清艳，最后十二年的词作则渐显凄厉，与其贬谪途中的心态切密相关（绍圣元年至元符三年，即秦观41至52岁）。</w:t>
      </w:r>
    </w:p>
    <w:p>
      <w:pPr>
        <w:spacing w:line="40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较比苏轼“小舟从此逝，江海寄余生”的豁达，秦观的最后十二载困宥于谪迁的痛苦中</w:t>
      </w:r>
      <w:r>
        <w:rPr>
          <w:rStyle w:val="9"/>
          <w:rFonts w:ascii="宋体" w:hAnsi="宋体" w:eastAsia="宋体"/>
          <w:sz w:val="28"/>
          <w:szCs w:val="28"/>
        </w:rPr>
        <w:footnoteReference w:id="5"/>
      </w:r>
      <w:r>
        <w:rPr>
          <w:rFonts w:hint="eastAsia" w:ascii="宋体" w:hAnsi="宋体" w:eastAsia="宋体"/>
          <w:sz w:val="28"/>
          <w:szCs w:val="28"/>
        </w:rPr>
        <w:t>。他无法遣散内心的悲哀，直到《自作挽词》中仍然嗟叹“奇祸一朝作，飘零至于斯”，将个体与世界对立、将心灵的困局归咎于绍圣党禁的“奇祸”，至死不能与过往完成和解。纵观秦观一生，早年，他沉浮科场，而苏门学士皆少年致仕；中年，他终能及第入京，西园夜饮，进入政治和文坛的中心，但这样的时光不过欻然一瞬。被驱逐出京的秦观，用他生命的最后十二年追思鲜花着锦的曾经，嗟叹沉沦飘零的现实。</w:t>
      </w:r>
    </w:p>
    <w:p>
      <w:pPr>
        <w:spacing w:line="40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《望海潮》《千秋岁》便是抒写此怀的作品。与代言体和抒普遍性情感有别，这两首词与秦观的际遇紧密相关，抒的是个体性情感。这也是词文人化的一个折射。</w:t>
      </w:r>
    </w:p>
    <w:p>
      <w:pPr>
        <w:spacing w:line="40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同写春日之景，同忆西园之昔，同嗟谪迁之叹，这两首词因词体的差别而有结构组织的分别，因此所抒之情也有差异。</w:t>
      </w:r>
    </w:p>
    <w:p>
      <w:pPr>
        <w:spacing w:line="40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从文本时空来看，《望海潮》的时空比较《千秋岁》层次更多、更深。《千秋岁》仅有此时宴席和往昔西园两个时空，也未体现时间流转之感，符合令曲捕捉刹那情绪的词体特质。而在《望海潮》中，秦观书写了此时春日、往昔御街、往昔西园、此时西园四个时空，有虚实今昔，有时间流转，有空间延伸。</w:t>
      </w:r>
    </w:p>
    <w:p>
      <w:pPr>
        <w:spacing w:line="40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从时空切换的方式来看，《千秋岁》是典型的上片即景，下片抒情的令曲写作模式：上片从远拉近，记录一场春日饯别的宴会；下片以“忆昔“领起对西园雅集的回忆，又以”今谁在“回到此时此地的时空，最后抒伤春伤逝之悲。而《望海潮》的时空切换更加复杂，现在与过往、实记与想象互相交融。</w:t>
      </w:r>
    </w:p>
    <w:p>
      <w:pPr>
        <w:spacing w:line="40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“梅英疏淡，冰澌溶泄，东风暗换年华“，词人敏锐觉知物候的变化，季节的更替。但在美好的春日要降临到“洛城”之时，他却不得不作为一个失败者离开此处。“金谷俊游，铜驼巷陌，新晴细履平沙“，御街上车来人往，俊才的鞋履踏过铺平的路面，他们的眼中写着勃勃的野心和希望——我曾经也是这样啊。词人以”长记“领起对志得意满时恣意游春的回忆：“长记误随车。正絮翻蝶舞，芳思交加。柳下桃蹊，乱分春色到人家。“彼时彼刻的秦观，眼中的春色是绚烂之极，因为进京后的他，认为自己的人生将会从此一路顺遂、一片光明。</w:t>
      </w:r>
    </w:p>
    <w:p>
      <w:pPr>
        <w:spacing w:line="40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西园雅集，是秦观人生中最盛大的记忆。“西园夜饮鸣笳。有华灯碍月，飞盖妨花”，十七位风流才俊，在政治和文坛的中心共同举杯，可谓辉煌。但这样的盛景将再不复现，此时此刻，在西园雅集的已不是他们了，“兰苑未空，行人渐老，重来是事堪嗟”，自此句词意陡传。作者在“烟暝酒旗斜”之处，想象此时彼地的西园，在虚实结合中生今昔对比之叹，“无奈归心，暗随流水到天涯”。</w:t>
      </w:r>
    </w:p>
    <w:p>
      <w:pPr>
        <w:spacing w:line="40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由此可见，《望海潮》中的多重时空架构不是仅通过领字进行的简单拼接，而是今昔相融、虚实交错，有“潜气内转“之感，即文气沉潜、回环并积聚，局势变换而气脉贯串。欲要“潜”，则需要“千回百折”的“敛”之气，文本时空需有回环转折，且这样的回环转折不能靠虚的领字去完成，如“忆昔西池会”中之“忆”。因这样的文意是显性的。在转接提顿处多用实词，可以达到“神圆”</w:t>
      </w:r>
      <w:r>
        <w:rPr>
          <w:rStyle w:val="9"/>
          <w:rFonts w:ascii="宋体" w:hAnsi="宋体" w:eastAsia="宋体"/>
          <w:sz w:val="28"/>
          <w:szCs w:val="28"/>
        </w:rPr>
        <w:footnoteReference w:id="6"/>
      </w:r>
      <w:r>
        <w:rPr>
          <w:rFonts w:hint="eastAsia" w:ascii="宋体" w:hAnsi="宋体" w:eastAsia="宋体"/>
          <w:sz w:val="28"/>
          <w:szCs w:val="28"/>
        </w:rPr>
        <w:t>的效果，使词脉在迂回中有浑然。《望海潮》中仅有一次传接以“长记”领起，其余皆用实字进行承接转折。虚字的转接提顿是明的，实字的转接提顿则是暗的，对比《千秋岁》明了的时空结构，《望海潮》显得质实晦昧，但文气下潜而内转，有“神圆”。</w:t>
      </w:r>
      <w:r>
        <w:rPr>
          <w:rStyle w:val="9"/>
          <w:rFonts w:ascii="宋体" w:hAnsi="宋体" w:eastAsia="宋体"/>
          <w:sz w:val="28"/>
          <w:szCs w:val="28"/>
        </w:rPr>
        <w:footnoteReference w:id="7"/>
      </w:r>
    </w:p>
    <w:p>
      <w:pPr>
        <w:spacing w:line="40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因结构形式不同而造成的词气差异，也使令曲和慢词在抒情方式上有了差异。《望海潮》的情感表露更加迂回曲折，深厚内敛。伤春、感遇、怀古、伤别之情在时空的变化中堆叠、萦绕、流露，静而深婉；《千秋岁》则有“劲气直达，大开大阖</w:t>
      </w:r>
      <w:r>
        <w:rPr>
          <w:rStyle w:val="9"/>
          <w:rFonts w:ascii="宋体" w:hAnsi="宋体" w:eastAsia="宋体"/>
          <w:sz w:val="28"/>
          <w:szCs w:val="28"/>
        </w:rPr>
        <w:footnoteReference w:id="8"/>
      </w:r>
      <w:r>
        <w:rPr>
          <w:rFonts w:hint="eastAsia" w:ascii="宋体" w:hAnsi="宋体" w:eastAsia="宋体"/>
          <w:sz w:val="28"/>
          <w:szCs w:val="28"/>
        </w:rPr>
        <w:t>”的舒放之气，情感表露一气呵成，且更为强烈，更为直露。</w:t>
      </w:r>
    </w:p>
    <w:p>
      <w:pPr>
        <w:spacing w:line="400" w:lineRule="atLeas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简言之，因文本容量大小、流行时间先后、音乐性强弱等差异，令曲与慢词有着不同的结构组织方式</w:t>
      </w:r>
      <w:r>
        <w:rPr>
          <w:rStyle w:val="9"/>
          <w:rFonts w:ascii="宋体" w:hAnsi="宋体" w:eastAsia="宋体"/>
          <w:sz w:val="28"/>
          <w:szCs w:val="28"/>
        </w:rPr>
        <w:footnoteReference w:id="9"/>
      </w:r>
      <w:r>
        <w:rPr>
          <w:rFonts w:hint="eastAsia" w:ascii="宋体" w:hAnsi="宋体" w:eastAsia="宋体"/>
          <w:sz w:val="28"/>
          <w:szCs w:val="28"/>
        </w:rPr>
        <w:t>，也因此有词气的“舒“和”敛“之分。这就致使在表达类似情感时，令曲和慢词的抒情也会有所差异：前者较明了直露，后者较复杂迂回。赏慢词，如观重屏图，需仔细把玩，方能推开屏中屏中屏，见梦中梦中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0">
    <w:p>
      <w:r>
        <w:separator/>
      </w:r>
    </w:p>
  </w:footnote>
  <w:footnote w:type="continuationSeparator" w:id="21">
    <w:p>
      <w:r>
        <w:continuationSeparator/>
      </w:r>
    </w:p>
  </w:footnote>
  <w:footnote w:id="0">
    <w:p>
      <w:pPr>
        <w:pStyle w:val="6"/>
        <w:rPr>
          <w:rFonts w:ascii="宋体" w:hAnsi="宋体" w:eastAsia="宋体"/>
        </w:rPr>
      </w:pPr>
      <w:r>
        <w:rPr>
          <w:rStyle w:val="9"/>
          <w:rFonts w:ascii="宋体" w:hAnsi="宋体" w:eastAsia="宋体"/>
        </w:rPr>
        <w:footnoteRef/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沈义父：《乐府指迷》，北京：</w:t>
      </w:r>
      <w:r>
        <w:rPr>
          <w:rFonts w:ascii="宋体" w:hAnsi="宋体" w:eastAsia="宋体"/>
        </w:rPr>
        <w:t>北京联合出版社</w:t>
      </w:r>
      <w:r>
        <w:rPr>
          <w:rFonts w:hint="eastAsia" w:ascii="宋体" w:hAnsi="宋体" w:eastAsia="宋体"/>
        </w:rPr>
        <w:t>，2018年，第283页。</w:t>
      </w:r>
    </w:p>
  </w:footnote>
  <w:footnote w:id="1">
    <w:p>
      <w:pPr>
        <w:pStyle w:val="6"/>
        <w:rPr>
          <w:rFonts w:ascii="宋体" w:hAnsi="宋体" w:eastAsia="宋体"/>
        </w:rPr>
      </w:pPr>
      <w:r>
        <w:rPr>
          <w:rStyle w:val="9"/>
          <w:rFonts w:ascii="宋体" w:hAnsi="宋体" w:eastAsia="宋体"/>
        </w:rPr>
        <w:footnoteRef/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赵惠俊：《朝野与雅俗</w:t>
      </w:r>
      <w:r>
        <w:rPr>
          <w:rFonts w:ascii="宋体" w:hAnsi="宋体" w:eastAsia="宋体"/>
        </w:rPr>
        <w:t>:宋真宗至高宗朝词坛生</w:t>
      </w:r>
      <w:r>
        <w:rPr>
          <w:rFonts w:hint="eastAsia" w:ascii="宋体" w:hAnsi="宋体" w:eastAsia="宋体"/>
        </w:rPr>
        <w:t>态与词体雅化研究》，上海：复旦大学出版社，2019年，第53页。</w:t>
      </w:r>
    </w:p>
  </w:footnote>
  <w:footnote w:id="2">
    <w:p>
      <w:pPr>
        <w:pStyle w:val="6"/>
        <w:rPr>
          <w:rFonts w:ascii="宋体" w:hAnsi="宋体" w:eastAsia="宋体"/>
        </w:rPr>
      </w:pPr>
      <w:r>
        <w:rPr>
          <w:rStyle w:val="9"/>
          <w:rFonts w:ascii="宋体" w:hAnsi="宋体" w:eastAsia="宋体"/>
        </w:rPr>
        <w:footnoteRef/>
      </w:r>
      <w:r>
        <w:rPr>
          <w:rFonts w:ascii="宋体" w:hAnsi="宋体" w:eastAsia="宋体"/>
        </w:rPr>
        <w:t xml:space="preserve"> 谢桃坊</w:t>
      </w:r>
      <w:r>
        <w:rPr>
          <w:rFonts w:hint="eastAsia" w:ascii="宋体" w:hAnsi="宋体" w:eastAsia="宋体"/>
        </w:rPr>
        <w:t>：《</w:t>
      </w:r>
      <w:r>
        <w:rPr>
          <w:rFonts w:ascii="宋体" w:hAnsi="宋体" w:eastAsia="宋体"/>
        </w:rPr>
        <w:t>唐宋词谱粹编</w:t>
      </w:r>
      <w:r>
        <w:rPr>
          <w:rFonts w:hint="eastAsia" w:ascii="宋体" w:hAnsi="宋体" w:eastAsia="宋体"/>
        </w:rPr>
        <w:t>》，四川：</w:t>
      </w:r>
      <w:r>
        <w:rPr>
          <w:rFonts w:ascii="宋体" w:hAnsi="宋体" w:eastAsia="宋体"/>
        </w:rPr>
        <w:t>四川人民出版社，2010</w:t>
      </w:r>
      <w:r>
        <w:rPr>
          <w:rFonts w:hint="eastAsia" w:ascii="宋体" w:hAnsi="宋体" w:eastAsia="宋体"/>
        </w:rPr>
        <w:t>年，第54页。</w:t>
      </w:r>
    </w:p>
  </w:footnote>
  <w:footnote w:id="3">
    <w:p>
      <w:pPr>
        <w:pStyle w:val="6"/>
        <w:rPr>
          <w:rFonts w:ascii="宋体" w:hAnsi="宋体" w:eastAsia="宋体"/>
        </w:rPr>
      </w:pPr>
      <w:r>
        <w:rPr>
          <w:rStyle w:val="9"/>
          <w:rFonts w:ascii="宋体" w:hAnsi="宋体" w:eastAsia="宋体"/>
        </w:rPr>
        <w:footnoteRef/>
      </w:r>
      <w:r>
        <w:rPr>
          <w:rFonts w:ascii="宋体" w:hAnsi="宋体" w:eastAsia="宋体"/>
        </w:rPr>
        <w:t xml:space="preserve"> 唐圭璋</w:t>
      </w:r>
      <w:r>
        <w:rPr>
          <w:rFonts w:hint="eastAsia" w:ascii="宋体" w:hAnsi="宋体" w:eastAsia="宋体"/>
          <w:lang w:val="en-US" w:eastAsia="zh-CN"/>
        </w:rPr>
        <w:t>等：</w:t>
      </w:r>
      <w:r>
        <w:rPr>
          <w:rFonts w:ascii="宋体" w:hAnsi="宋体" w:eastAsia="宋体"/>
        </w:rPr>
        <w:t>《唐宋词鉴赏辞典》唐·五代·北宋卷</w:t>
      </w:r>
      <w:r>
        <w:rPr>
          <w:rFonts w:hint="eastAsia" w:ascii="宋体" w:hAnsi="宋体" w:eastAsia="宋体"/>
        </w:rPr>
        <w:t>，上海：</w:t>
      </w:r>
      <w:r>
        <w:rPr>
          <w:rFonts w:ascii="宋体" w:hAnsi="宋体" w:eastAsia="宋体"/>
        </w:rPr>
        <w:t>上海辞书出版社，1988年，第820页</w:t>
      </w:r>
      <w:r>
        <w:rPr>
          <w:rFonts w:hint="eastAsia" w:ascii="宋体" w:hAnsi="宋体" w:eastAsia="宋体"/>
        </w:rPr>
        <w:t>。</w:t>
      </w:r>
    </w:p>
  </w:footnote>
  <w:footnote w:id="4">
    <w:p>
      <w:pPr>
        <w:pStyle w:val="6"/>
        <w:rPr>
          <w:rFonts w:ascii="宋体" w:hAnsi="宋体" w:eastAsia="宋体"/>
        </w:rPr>
      </w:pPr>
      <w:r>
        <w:rPr>
          <w:rStyle w:val="9"/>
          <w:rFonts w:ascii="宋体" w:hAnsi="宋体" w:eastAsia="宋体"/>
        </w:rPr>
        <w:footnoteRef/>
      </w:r>
      <w:r>
        <w:rPr>
          <w:rFonts w:ascii="宋体" w:hAnsi="宋体" w:eastAsia="宋体"/>
        </w:rPr>
        <w:t xml:space="preserve"> 孙崇恩</w:t>
      </w:r>
      <w:r>
        <w:rPr>
          <w:rFonts w:hint="eastAsia" w:ascii="宋体" w:hAnsi="宋体" w:eastAsia="宋体"/>
        </w:rPr>
        <w:t>：《</w:t>
      </w:r>
      <w:r>
        <w:rPr>
          <w:rFonts w:ascii="宋体" w:hAnsi="宋体" w:eastAsia="宋体"/>
        </w:rPr>
        <w:t>北宋婉约派四大名家词</w:t>
      </w:r>
      <w:r>
        <w:rPr>
          <w:rFonts w:hint="eastAsia" w:ascii="宋体" w:hAnsi="宋体" w:eastAsia="宋体"/>
        </w:rPr>
        <w:t>》，</w:t>
      </w:r>
      <w:r>
        <w:rPr>
          <w:rFonts w:ascii="宋体" w:hAnsi="宋体" w:eastAsia="宋体"/>
        </w:rPr>
        <w:t>北京</w:t>
      </w:r>
      <w:r>
        <w:rPr>
          <w:rFonts w:hint="eastAsia" w:ascii="宋体" w:hAnsi="宋体" w:eastAsia="宋体"/>
        </w:rPr>
        <w:t>：</w:t>
      </w:r>
      <w:r>
        <w:rPr>
          <w:rFonts w:ascii="宋体" w:hAnsi="宋体" w:eastAsia="宋体"/>
        </w:rPr>
        <w:t>中国书籍出版社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1995</w:t>
      </w:r>
      <w:r>
        <w:rPr>
          <w:rFonts w:hint="eastAsia" w:ascii="宋体" w:hAnsi="宋体" w:eastAsia="宋体"/>
        </w:rPr>
        <w:t>年，第</w:t>
      </w:r>
      <w:r>
        <w:rPr>
          <w:rFonts w:ascii="宋体" w:hAnsi="宋体" w:eastAsia="宋体"/>
        </w:rPr>
        <w:t>62-64</w:t>
      </w:r>
      <w:r>
        <w:rPr>
          <w:rFonts w:hint="eastAsia" w:ascii="宋体" w:hAnsi="宋体" w:eastAsia="宋体"/>
        </w:rPr>
        <w:t>页。</w:t>
      </w:r>
    </w:p>
  </w:footnote>
  <w:footnote w:id="5">
    <w:p>
      <w:pPr>
        <w:pStyle w:val="6"/>
        <w:ind w:firstLine="360" w:firstLineChars="200"/>
        <w:rPr>
          <w:rFonts w:ascii="宋体" w:hAnsi="宋体" w:eastAsia="宋体"/>
        </w:rPr>
      </w:pPr>
      <w:r>
        <w:rPr>
          <w:rStyle w:val="9"/>
        </w:rPr>
        <w:footnoteRef/>
      </w:r>
      <w:r>
        <w:t xml:space="preserve"> </w:t>
      </w:r>
      <w:r>
        <w:rPr>
          <w:rFonts w:hint="eastAsia" w:ascii="宋体" w:hAnsi="宋体" w:eastAsia="宋体"/>
        </w:rPr>
        <w:t>苏轼的“人生如梦，一尊还酹江月”，将个人的郁懑遣散于天地之间，达到一种“无身”的状态，与形而上的境界相通。秦观的关注点却总是落回自身，“无奈归心，暗随流水到天涯”，他反复嗟叹自己的不幸，这种悲叹因过多的重复甚至形成了一种强迫，让他陷落在怨艾的罗网中无法摆脱。他的痛苦是身体内的狂风，不断冲撞回荡。苏轼通过超脱获得平静，而秦观始终不能平息心灵的噪音。他内心的喧嚣外显于文本中，即成一种凄清而暗藏锐鸣的词境。“郴江自幸绕郴山，为谁流下潇湘去”、“可堪孤馆闭春寒，杜鹃声里斜阳暮”、“</w:t>
      </w:r>
      <w:r>
        <w:rPr>
          <w:rFonts w:ascii="宋体" w:hAnsi="宋体" w:eastAsia="宋体"/>
        </w:rPr>
        <w:t>春去也，飞红万点愁如海</w:t>
      </w:r>
      <w:r>
        <w:rPr>
          <w:rFonts w:hint="eastAsia" w:ascii="宋体" w:hAnsi="宋体" w:eastAsia="宋体"/>
        </w:rPr>
        <w:t>”，秦观后期的词作多写“有我之境”，为万物涂抹上“我之色彩”，这种色彩乍看是凄婉动人的，细听却有凄厉尖锐之音，这样的凄鸣正来自于词人内心的漩涡。</w:t>
      </w:r>
    </w:p>
    <w:p>
      <w:pPr>
        <w:pStyle w:val="6"/>
        <w:ind w:firstLine="36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困住秦观的不是不幸，而是他对不幸的自恋式的目光。在舔舐伤口时，他对拥有这道伤口的自己进行反复的检视、反复的怜悯，最后即成为了一种自恋。他是一个嗜痛患者，在剖开伤口的时候感到快意，并因这样的快感而把疤痕一次次撕裂，直到不能承受的鲜血淋漓，失血而亡。</w:t>
      </w:r>
    </w:p>
    <w:p>
      <w:pPr>
        <w:pStyle w:val="6"/>
        <w:ind w:firstLine="36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但我们怎能批评秦观。当我们面对不幸时，我们真的能够成为苏轼吗？</w:t>
      </w:r>
    </w:p>
    <w:p>
      <w:pPr>
        <w:pStyle w:val="6"/>
        <w:rPr>
          <w:rFonts w:hint="eastAsia"/>
        </w:rPr>
      </w:pPr>
    </w:p>
  </w:footnote>
  <w:footnote w:id="6">
    <w:p>
      <w:pPr>
        <w:pStyle w:val="6"/>
        <w:rPr>
          <w:rFonts w:ascii="宋体" w:hAnsi="宋体" w:eastAsia="宋体"/>
        </w:rPr>
      </w:pPr>
      <w:r>
        <w:rPr>
          <w:rStyle w:val="9"/>
          <w:rFonts w:ascii="宋体" w:hAnsi="宋体" w:eastAsia="宋体"/>
        </w:rPr>
        <w:footnoteRef/>
      </w:r>
      <w:r>
        <w:rPr>
          <w:rFonts w:hint="eastAsia" w:ascii="宋体" w:hAnsi="宋体" w:eastAsia="宋体"/>
        </w:rPr>
        <w:t xml:space="preserve"> 况周颐：“词中转折宜圆”——况周颐撰、屈兴国辑注：《蕙风词话辑注》，江西：江西人民出版社，2000年，第</w:t>
      </w:r>
      <w:r>
        <w:rPr>
          <w:rFonts w:ascii="宋体" w:hAnsi="宋体" w:eastAsia="宋体"/>
        </w:rPr>
        <w:t>11</w:t>
      </w:r>
      <w:r>
        <w:rPr>
          <w:rFonts w:hint="eastAsia" w:ascii="宋体" w:hAnsi="宋体" w:eastAsia="宋体"/>
        </w:rPr>
        <w:t>页。</w:t>
      </w:r>
    </w:p>
  </w:footnote>
  <w:footnote w:id="7">
    <w:p>
      <w:pPr>
        <w:pStyle w:val="6"/>
        <w:rPr>
          <w:rFonts w:ascii="宋体" w:hAnsi="宋体" w:eastAsia="宋体"/>
        </w:rPr>
      </w:pPr>
      <w:r>
        <w:rPr>
          <w:rStyle w:val="9"/>
          <w:rFonts w:ascii="宋体" w:hAnsi="宋体" w:eastAsia="宋体"/>
        </w:rPr>
        <w:footnoteRef/>
      </w:r>
      <w:r>
        <w:rPr>
          <w:rFonts w:hint="eastAsia" w:ascii="宋体" w:hAnsi="宋体" w:eastAsia="宋体"/>
        </w:rPr>
        <w:t xml:space="preserve"> 彭玉平：《词学史上的“潜气内转”说》</w:t>
      </w:r>
      <w:bookmarkStart w:id="0" w:name="_GoBack"/>
      <w:bookmarkEnd w:id="0"/>
      <w:r>
        <w:rPr>
          <w:rFonts w:hint="eastAsia" w:ascii="宋体" w:hAnsi="宋体" w:eastAsia="宋体"/>
        </w:rPr>
        <w:t>，文学评论，2012年，第197-208页。</w:t>
      </w:r>
    </w:p>
  </w:footnote>
  <w:footnote w:id="8">
    <w:p>
      <w:pPr>
        <w:pStyle w:val="6"/>
        <w:rPr>
          <w:rFonts w:ascii="宋体" w:hAnsi="宋体" w:eastAsia="宋体"/>
        </w:rPr>
      </w:pPr>
      <w:r>
        <w:rPr>
          <w:rStyle w:val="9"/>
          <w:rFonts w:ascii="宋体" w:hAnsi="宋体" w:eastAsia="宋体"/>
        </w:rPr>
        <w:footnoteRef/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陈匪石：《声执》卷上，江苏：江苏古籍出版社，2022年，第</w:t>
      </w:r>
      <w:r>
        <w:rPr>
          <w:rFonts w:ascii="宋体" w:hAnsi="宋体" w:eastAsia="宋体"/>
        </w:rPr>
        <w:t>188</w:t>
      </w:r>
      <w:r>
        <w:rPr>
          <w:rFonts w:hint="eastAsia" w:ascii="宋体" w:hAnsi="宋体" w:eastAsia="宋体"/>
        </w:rPr>
        <w:t>-</w:t>
      </w:r>
      <w:r>
        <w:rPr>
          <w:rFonts w:ascii="宋体" w:hAnsi="宋体" w:eastAsia="宋体"/>
        </w:rPr>
        <w:t>189</w:t>
      </w:r>
      <w:r>
        <w:rPr>
          <w:rFonts w:hint="eastAsia" w:ascii="宋体" w:hAnsi="宋体" w:eastAsia="宋体"/>
        </w:rPr>
        <w:t>页。</w:t>
      </w:r>
    </w:p>
  </w:footnote>
  <w:footnote w:id="9">
    <w:p>
      <w:pPr>
        <w:pStyle w:val="6"/>
        <w:rPr>
          <w:rFonts w:ascii="宋体" w:hAnsi="宋体" w:eastAsia="宋体"/>
        </w:rPr>
      </w:pPr>
      <w:r>
        <w:rPr>
          <w:rStyle w:val="9"/>
          <w:rFonts w:ascii="宋体" w:hAnsi="宋体" w:eastAsia="宋体"/>
        </w:rPr>
        <w:footnoteRef/>
      </w:r>
      <w:r>
        <w:rPr>
          <w:rFonts w:ascii="宋体" w:hAnsi="宋体" w:eastAsia="宋体"/>
        </w:rPr>
        <w:t xml:space="preserve"> 赵</w:t>
      </w:r>
      <w:r>
        <w:rPr>
          <w:rFonts w:hint="eastAsia" w:ascii="宋体" w:hAnsi="宋体" w:eastAsia="宋体"/>
        </w:rPr>
        <w:t>惠俊：《朝野与雅俗</w:t>
      </w:r>
      <w:r>
        <w:rPr>
          <w:rFonts w:ascii="宋体" w:hAnsi="宋体" w:eastAsia="宋体"/>
        </w:rPr>
        <w:t>:宋真宗至高宗朝词坛生</w:t>
      </w:r>
      <w:r>
        <w:rPr>
          <w:rFonts w:hint="eastAsia" w:ascii="宋体" w:hAnsi="宋体" w:eastAsia="宋体"/>
        </w:rPr>
        <w:t>态与词体雅化研究》，上海：复旦大学出版社，2019年，第60页。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6770E"/>
    <w:multiLevelType w:val="multilevel"/>
    <w:tmpl w:val="4096770E"/>
    <w:lvl w:ilvl="0" w:tentative="0">
      <w:start w:val="1"/>
      <w:numFmt w:val="japaneseCounting"/>
      <w:lvlText w:val="%1.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0"/>
    <w:footnote w:id="2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9F5C8C"/>
    <w:rsid w:val="000005BE"/>
    <w:rsid w:val="00000644"/>
    <w:rsid w:val="00001869"/>
    <w:rsid w:val="00002646"/>
    <w:rsid w:val="000061BC"/>
    <w:rsid w:val="0000796C"/>
    <w:rsid w:val="000106CD"/>
    <w:rsid w:val="00013A9F"/>
    <w:rsid w:val="0002384E"/>
    <w:rsid w:val="0003202B"/>
    <w:rsid w:val="00032FC3"/>
    <w:rsid w:val="00034AFB"/>
    <w:rsid w:val="00043C2C"/>
    <w:rsid w:val="00050902"/>
    <w:rsid w:val="0005713A"/>
    <w:rsid w:val="000775BE"/>
    <w:rsid w:val="000803C5"/>
    <w:rsid w:val="0008407F"/>
    <w:rsid w:val="000C0FDA"/>
    <w:rsid w:val="000D7F0A"/>
    <w:rsid w:val="000E4361"/>
    <w:rsid w:val="000E482D"/>
    <w:rsid w:val="00101C83"/>
    <w:rsid w:val="001045D2"/>
    <w:rsid w:val="0011611C"/>
    <w:rsid w:val="0012048C"/>
    <w:rsid w:val="00122F43"/>
    <w:rsid w:val="0013489A"/>
    <w:rsid w:val="00144C91"/>
    <w:rsid w:val="001453E1"/>
    <w:rsid w:val="0015130C"/>
    <w:rsid w:val="00175A52"/>
    <w:rsid w:val="00182C7E"/>
    <w:rsid w:val="001B2716"/>
    <w:rsid w:val="001D0CF8"/>
    <w:rsid w:val="001D52E7"/>
    <w:rsid w:val="001D6DA0"/>
    <w:rsid w:val="001E241C"/>
    <w:rsid w:val="001E4B8E"/>
    <w:rsid w:val="001F37B4"/>
    <w:rsid w:val="001F3AAA"/>
    <w:rsid w:val="001F5133"/>
    <w:rsid w:val="0020195F"/>
    <w:rsid w:val="002053A4"/>
    <w:rsid w:val="00207634"/>
    <w:rsid w:val="00211E47"/>
    <w:rsid w:val="00212468"/>
    <w:rsid w:val="002218FC"/>
    <w:rsid w:val="002222FD"/>
    <w:rsid w:val="00242738"/>
    <w:rsid w:val="00246B71"/>
    <w:rsid w:val="0025340F"/>
    <w:rsid w:val="00271156"/>
    <w:rsid w:val="00296BA4"/>
    <w:rsid w:val="002C759E"/>
    <w:rsid w:val="002D0039"/>
    <w:rsid w:val="002D373C"/>
    <w:rsid w:val="002E1F0E"/>
    <w:rsid w:val="002F198B"/>
    <w:rsid w:val="002F6743"/>
    <w:rsid w:val="002F76AB"/>
    <w:rsid w:val="0030412E"/>
    <w:rsid w:val="0031743C"/>
    <w:rsid w:val="00332B6D"/>
    <w:rsid w:val="0033486D"/>
    <w:rsid w:val="00341514"/>
    <w:rsid w:val="00343B8A"/>
    <w:rsid w:val="0036262E"/>
    <w:rsid w:val="0037581D"/>
    <w:rsid w:val="00381957"/>
    <w:rsid w:val="0039263D"/>
    <w:rsid w:val="003944BE"/>
    <w:rsid w:val="00395081"/>
    <w:rsid w:val="003A2233"/>
    <w:rsid w:val="003A2F17"/>
    <w:rsid w:val="003B3890"/>
    <w:rsid w:val="003C7A21"/>
    <w:rsid w:val="003D1C85"/>
    <w:rsid w:val="003D308F"/>
    <w:rsid w:val="003D674B"/>
    <w:rsid w:val="003E06CB"/>
    <w:rsid w:val="003F2091"/>
    <w:rsid w:val="00412CDA"/>
    <w:rsid w:val="0042272A"/>
    <w:rsid w:val="0042418C"/>
    <w:rsid w:val="00433D0C"/>
    <w:rsid w:val="00443724"/>
    <w:rsid w:val="00447719"/>
    <w:rsid w:val="004478BD"/>
    <w:rsid w:val="00461786"/>
    <w:rsid w:val="00461C61"/>
    <w:rsid w:val="00462EC6"/>
    <w:rsid w:val="00475D79"/>
    <w:rsid w:val="004778AE"/>
    <w:rsid w:val="004874C7"/>
    <w:rsid w:val="004901A1"/>
    <w:rsid w:val="00492CBC"/>
    <w:rsid w:val="00497817"/>
    <w:rsid w:val="004A4190"/>
    <w:rsid w:val="004A574D"/>
    <w:rsid w:val="004B3E80"/>
    <w:rsid w:val="004B64F1"/>
    <w:rsid w:val="004B7D04"/>
    <w:rsid w:val="004C5EEB"/>
    <w:rsid w:val="004C6704"/>
    <w:rsid w:val="004C67A5"/>
    <w:rsid w:val="004E2BA4"/>
    <w:rsid w:val="004E36EA"/>
    <w:rsid w:val="004E4C32"/>
    <w:rsid w:val="005324F5"/>
    <w:rsid w:val="00544773"/>
    <w:rsid w:val="005475DB"/>
    <w:rsid w:val="0055653B"/>
    <w:rsid w:val="005638F5"/>
    <w:rsid w:val="005762DF"/>
    <w:rsid w:val="00586677"/>
    <w:rsid w:val="00595743"/>
    <w:rsid w:val="00597587"/>
    <w:rsid w:val="005A06B5"/>
    <w:rsid w:val="005C051D"/>
    <w:rsid w:val="005C0ADB"/>
    <w:rsid w:val="005D4548"/>
    <w:rsid w:val="005D72B7"/>
    <w:rsid w:val="005E1974"/>
    <w:rsid w:val="00600E7E"/>
    <w:rsid w:val="0060746A"/>
    <w:rsid w:val="006104F6"/>
    <w:rsid w:val="00614485"/>
    <w:rsid w:val="006210FF"/>
    <w:rsid w:val="00623149"/>
    <w:rsid w:val="006403D6"/>
    <w:rsid w:val="0064344C"/>
    <w:rsid w:val="006515AC"/>
    <w:rsid w:val="006644DA"/>
    <w:rsid w:val="00670A83"/>
    <w:rsid w:val="006A025E"/>
    <w:rsid w:val="006A0A4F"/>
    <w:rsid w:val="006B52F6"/>
    <w:rsid w:val="006B77B8"/>
    <w:rsid w:val="006D72FC"/>
    <w:rsid w:val="006E304E"/>
    <w:rsid w:val="00717396"/>
    <w:rsid w:val="00732044"/>
    <w:rsid w:val="00736A98"/>
    <w:rsid w:val="00744C96"/>
    <w:rsid w:val="00746E45"/>
    <w:rsid w:val="00754182"/>
    <w:rsid w:val="007640CD"/>
    <w:rsid w:val="00766FAD"/>
    <w:rsid w:val="00777048"/>
    <w:rsid w:val="007772DF"/>
    <w:rsid w:val="007A3D98"/>
    <w:rsid w:val="007B39EF"/>
    <w:rsid w:val="007C064D"/>
    <w:rsid w:val="007D0F3D"/>
    <w:rsid w:val="007D59F9"/>
    <w:rsid w:val="007E3B68"/>
    <w:rsid w:val="007E4B7A"/>
    <w:rsid w:val="007E7A48"/>
    <w:rsid w:val="008070F2"/>
    <w:rsid w:val="00810B75"/>
    <w:rsid w:val="00847166"/>
    <w:rsid w:val="00850F9B"/>
    <w:rsid w:val="008551D8"/>
    <w:rsid w:val="00882DA7"/>
    <w:rsid w:val="00884909"/>
    <w:rsid w:val="00896F66"/>
    <w:rsid w:val="008C7B1B"/>
    <w:rsid w:val="008D52E6"/>
    <w:rsid w:val="008D6DFE"/>
    <w:rsid w:val="008E1134"/>
    <w:rsid w:val="008E3AC6"/>
    <w:rsid w:val="00901E50"/>
    <w:rsid w:val="00943781"/>
    <w:rsid w:val="009457B9"/>
    <w:rsid w:val="009467DA"/>
    <w:rsid w:val="00952D30"/>
    <w:rsid w:val="00953FCF"/>
    <w:rsid w:val="00960739"/>
    <w:rsid w:val="009644F2"/>
    <w:rsid w:val="0098448C"/>
    <w:rsid w:val="0098459A"/>
    <w:rsid w:val="00984B77"/>
    <w:rsid w:val="00992314"/>
    <w:rsid w:val="009A78D1"/>
    <w:rsid w:val="009D1A4F"/>
    <w:rsid w:val="009E080B"/>
    <w:rsid w:val="009E0CFC"/>
    <w:rsid w:val="009F41B6"/>
    <w:rsid w:val="009F5C8C"/>
    <w:rsid w:val="00A0140E"/>
    <w:rsid w:val="00A124CA"/>
    <w:rsid w:val="00A132D9"/>
    <w:rsid w:val="00A23398"/>
    <w:rsid w:val="00A2476B"/>
    <w:rsid w:val="00A27F73"/>
    <w:rsid w:val="00A64FEA"/>
    <w:rsid w:val="00A6716C"/>
    <w:rsid w:val="00A672C1"/>
    <w:rsid w:val="00A84768"/>
    <w:rsid w:val="00AA3D75"/>
    <w:rsid w:val="00AA4A4A"/>
    <w:rsid w:val="00AA5847"/>
    <w:rsid w:val="00AA5DB9"/>
    <w:rsid w:val="00AA5E12"/>
    <w:rsid w:val="00AA6309"/>
    <w:rsid w:val="00AB0720"/>
    <w:rsid w:val="00AC39D8"/>
    <w:rsid w:val="00AD26C1"/>
    <w:rsid w:val="00AE3126"/>
    <w:rsid w:val="00AE6810"/>
    <w:rsid w:val="00AE6B8D"/>
    <w:rsid w:val="00AF3C37"/>
    <w:rsid w:val="00AF76BD"/>
    <w:rsid w:val="00B01D15"/>
    <w:rsid w:val="00B13816"/>
    <w:rsid w:val="00B21B1D"/>
    <w:rsid w:val="00B42C21"/>
    <w:rsid w:val="00B46FEC"/>
    <w:rsid w:val="00B515F8"/>
    <w:rsid w:val="00B547A5"/>
    <w:rsid w:val="00B63D7E"/>
    <w:rsid w:val="00B77FEE"/>
    <w:rsid w:val="00BA0F94"/>
    <w:rsid w:val="00BA162C"/>
    <w:rsid w:val="00BA3086"/>
    <w:rsid w:val="00BB0318"/>
    <w:rsid w:val="00BC45BF"/>
    <w:rsid w:val="00BD17AE"/>
    <w:rsid w:val="00BD7D78"/>
    <w:rsid w:val="00BF5D45"/>
    <w:rsid w:val="00C138CA"/>
    <w:rsid w:val="00C529A6"/>
    <w:rsid w:val="00C530D2"/>
    <w:rsid w:val="00C65DAD"/>
    <w:rsid w:val="00C7447A"/>
    <w:rsid w:val="00C74DD0"/>
    <w:rsid w:val="00C75411"/>
    <w:rsid w:val="00C8456B"/>
    <w:rsid w:val="00C86C3E"/>
    <w:rsid w:val="00C97003"/>
    <w:rsid w:val="00CA76DB"/>
    <w:rsid w:val="00CD11ED"/>
    <w:rsid w:val="00CD4058"/>
    <w:rsid w:val="00CD701C"/>
    <w:rsid w:val="00CF1517"/>
    <w:rsid w:val="00CF79A4"/>
    <w:rsid w:val="00D121E9"/>
    <w:rsid w:val="00D13CF7"/>
    <w:rsid w:val="00D37BE9"/>
    <w:rsid w:val="00D436F3"/>
    <w:rsid w:val="00D73C84"/>
    <w:rsid w:val="00D73FB7"/>
    <w:rsid w:val="00D8029A"/>
    <w:rsid w:val="00D870B1"/>
    <w:rsid w:val="00D92A04"/>
    <w:rsid w:val="00D978E3"/>
    <w:rsid w:val="00DA5FA2"/>
    <w:rsid w:val="00DA6AE1"/>
    <w:rsid w:val="00DB3B61"/>
    <w:rsid w:val="00DB4BEE"/>
    <w:rsid w:val="00DB4FCD"/>
    <w:rsid w:val="00DC6ED2"/>
    <w:rsid w:val="00DD2AC4"/>
    <w:rsid w:val="00DE3E3B"/>
    <w:rsid w:val="00DF2A54"/>
    <w:rsid w:val="00DF5198"/>
    <w:rsid w:val="00E102E8"/>
    <w:rsid w:val="00E1223D"/>
    <w:rsid w:val="00E26FED"/>
    <w:rsid w:val="00E40540"/>
    <w:rsid w:val="00E527CB"/>
    <w:rsid w:val="00E65DF1"/>
    <w:rsid w:val="00E70257"/>
    <w:rsid w:val="00E814DF"/>
    <w:rsid w:val="00E83191"/>
    <w:rsid w:val="00E93CDD"/>
    <w:rsid w:val="00E94E2A"/>
    <w:rsid w:val="00EA2A6C"/>
    <w:rsid w:val="00EB1040"/>
    <w:rsid w:val="00EC40F5"/>
    <w:rsid w:val="00EC62B6"/>
    <w:rsid w:val="00ED2351"/>
    <w:rsid w:val="00ED37F0"/>
    <w:rsid w:val="00EE5132"/>
    <w:rsid w:val="00EF0DE3"/>
    <w:rsid w:val="00F07E11"/>
    <w:rsid w:val="00F138B1"/>
    <w:rsid w:val="00F50026"/>
    <w:rsid w:val="00F50482"/>
    <w:rsid w:val="00F5312A"/>
    <w:rsid w:val="00F561F2"/>
    <w:rsid w:val="00F566E0"/>
    <w:rsid w:val="00F66C8A"/>
    <w:rsid w:val="00F72603"/>
    <w:rsid w:val="00F74607"/>
    <w:rsid w:val="00F75947"/>
    <w:rsid w:val="00F77F8A"/>
    <w:rsid w:val="00F8133F"/>
    <w:rsid w:val="00F824AC"/>
    <w:rsid w:val="00FA2BA3"/>
    <w:rsid w:val="00FC06E8"/>
    <w:rsid w:val="00FC07B4"/>
    <w:rsid w:val="00FC670C"/>
    <w:rsid w:val="00FD29E0"/>
    <w:rsid w:val="00FE3CF1"/>
    <w:rsid w:val="00FF2A2C"/>
    <w:rsid w:val="00FF6B6B"/>
    <w:rsid w:val="13BA2769"/>
    <w:rsid w:val="16BD5E48"/>
    <w:rsid w:val="21396443"/>
    <w:rsid w:val="47506DC5"/>
    <w:rsid w:val="50C91CD3"/>
    <w:rsid w:val="683926A8"/>
    <w:rsid w:val="68D66149"/>
    <w:rsid w:val="6BDD77EF"/>
    <w:rsid w:val="739015EB"/>
    <w:rsid w:val="7A67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1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9">
    <w:name w:val="footnote reference"/>
    <w:basedOn w:val="8"/>
    <w:semiHidden/>
    <w:unhideWhenUsed/>
    <w:qFormat/>
    <w:uiPriority w:val="99"/>
    <w:rPr>
      <w:vertAlign w:val="superscript"/>
    </w:rPr>
  </w:style>
  <w:style w:type="character" w:customStyle="1" w:styleId="10">
    <w:name w:val="标题 1 字符"/>
    <w:basedOn w:val="8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1">
    <w:name w:val="脚注文本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2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FB605-CF49-402E-90CE-BE7F439A84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2796</Words>
  <Characters>2810</Characters>
  <Lines>20</Lines>
  <Paragraphs>5</Paragraphs>
  <TotalTime>2300</TotalTime>
  <ScaleCrop>false</ScaleCrop>
  <LinksUpToDate>false</LinksUpToDate>
  <CharactersWithSpaces>2819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2024-05-15T01:31:00Z</dcterms:created>
  <dc:creator>8613405006414</dc:creator>
  <cp:lastModifiedBy>焕之</cp:lastModifiedBy>
  <cp:lastPrinted>2024-05-18T07:09:00Z</cp:lastPrinted>
  <dcterms:modified xsi:type="dcterms:W3CDTF">2024-06-06T14:57:32Z</dcterms:modified>
  <cp:revision>599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17597F8945C14113939FA6D6D8797D4E_12</vt:lpwstr>
  </property>
</Properties>
</file>