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rPr>
          <w:rFonts w:hint="eastAsia"/>
          <w:lang w:eastAsia="zh-CN"/>
        </w:rPr>
      </w:pPr>
      <w:r>
        <w:rPr>
          <w:rFonts w:hint="eastAsia"/>
          <w:lang w:eastAsia="zh-CN"/>
        </w:rPr>
        <w:t>京剧感悟：</w:t>
      </w:r>
    </w:p>
    <w:p>
      <w:pPr>
        <w:snapToGrid w:val="0"/>
        <w:spacing w:line="400" w:lineRule="exact"/>
        <w:rPr>
          <w:rFonts w:hint="eastAsia"/>
        </w:rPr>
      </w:pPr>
      <w:r>
        <w:rPr>
          <w:rFonts w:hint="eastAsia"/>
          <w:lang w:eastAsia="zh-CN"/>
        </w:rPr>
        <w:t xml:space="preserve">    </w:t>
      </w:r>
      <w:r>
        <w:rPr>
          <w:rFonts w:hint="eastAsia"/>
        </w:rPr>
        <w:t>作为法学生，虽然我的专业聚焦于法律的严谨与逻辑，但我对京剧这一中华文化瑰宝同样抱有浓厚的兴趣与独到的见解。在踏入这门京剧课程之前，我对京剧的认知仅限于“国粹”这一抽象概念，以及春节联欢晚会上偶尔的片段式接触。然而，通过系统的学习与多次的现场观摩，我逐渐揭开了京剧神秘而迷人的面纱，并在这一过程中形成了自己的法律思维与人文关怀并重的思考。</w:t>
      </w:r>
    </w:p>
    <w:p>
      <w:pPr>
        <w:snapToGrid w:val="0"/>
        <w:spacing w:line="400" w:lineRule="exact"/>
        <w:rPr>
          <w:rFonts w:hint="eastAsia"/>
        </w:rPr>
      </w:pPr>
      <w:r>
        <w:rPr>
          <w:rFonts w:hint="eastAsia"/>
          <w:lang w:eastAsia="zh-CN"/>
        </w:rPr>
        <w:t xml:space="preserve">    </w:t>
      </w:r>
      <w:r>
        <w:rPr>
          <w:rFonts w:hint="eastAsia"/>
        </w:rPr>
        <w:t>在法律人的视角下，我注意到京剧在新中国成立后，尤其是在建国初期，其发展历程与法律的变革有着异曲同工之妙——都在寻求现代化与传统的平衡。革命样板戏、现代戏等新形式的出现，是京剧对新时代内容的积极融入，也是传统文化现代化的重要尝试。这种尝试，如同法律体系的不断更新与完善，旨在使传统文化或法律体系更加贴近社会现实，满足人民群众的精神需求或法律保障。</w:t>
      </w:r>
    </w:p>
    <w:p>
      <w:pPr>
        <w:snapToGrid w:val="0"/>
        <w:spacing w:line="400" w:lineRule="exact"/>
        <w:rPr>
          <w:rFonts w:hint="eastAsia"/>
        </w:rPr>
      </w:pPr>
      <w:r>
        <w:rPr>
          <w:rFonts w:hint="eastAsia"/>
          <w:lang w:eastAsia="zh-CN"/>
        </w:rPr>
        <w:t xml:space="preserve">    </w:t>
      </w:r>
      <w:r>
        <w:rPr>
          <w:rFonts w:hint="eastAsia"/>
        </w:rPr>
        <w:t>然而，正如法律在修订过程中需要谨慎权衡各方利益，京剧的现代化改造也需谨慎对待其传统精髓。在我看来，革命样板戏虽然贴合了时代的发展，与社会主流价值观高度契合，但在一定程度上却削弱了京剧原本的独特韵味。这种“去其精华”的做法，不禁让我联想到法律修订中可能出现的过度干预或忽视传统价值的问题。因此，我认为在京剧的现代化进程中，保留、提炼和萃取其传统特色至关重要。</w:t>
      </w:r>
    </w:p>
    <w:p>
      <w:pPr>
        <w:snapToGrid w:val="0"/>
        <w:spacing w:line="400" w:lineRule="exact"/>
        <w:rPr>
          <w:rFonts w:hint="eastAsia"/>
        </w:rPr>
      </w:pPr>
      <w:r>
        <w:rPr>
          <w:rFonts w:hint="eastAsia"/>
          <w:lang w:eastAsia="zh-CN"/>
        </w:rPr>
        <w:t xml:space="preserve">    </w:t>
      </w:r>
      <w:r>
        <w:rPr>
          <w:rFonts w:hint="eastAsia"/>
        </w:rPr>
        <w:t>传统京剧的服饰、舞美、声腔、字韵、形体等元素，共同构成了其独特的艺术魅力。这些元素不仅展现了东方美学的精髓，更在观众心中留下了深刻的印象。在我观摩京剧的过程中，我时常被那些华美的服饰、多彩的妆容、高亢或婉转的声调所吸引，仿佛置身于一个立体而生动的古代世界。这种古韵之美，正是京剧所独有的魅力所在，也是其万万不能丢失的特色。</w:t>
      </w:r>
    </w:p>
    <w:p>
      <w:pPr>
        <w:snapToGrid w:val="0"/>
        <w:spacing w:line="400" w:lineRule="exact"/>
        <w:rPr>
          <w:rFonts w:hint="eastAsia"/>
        </w:rPr>
      </w:pPr>
      <w:r>
        <w:rPr>
          <w:rFonts w:hint="eastAsia"/>
          <w:lang w:eastAsia="zh-CN"/>
        </w:rPr>
        <w:t xml:space="preserve">    </w:t>
      </w:r>
      <w:r>
        <w:rPr>
          <w:rFonts w:hint="eastAsia"/>
        </w:rPr>
        <w:t>当然，作为法律人，我也深知“有保留也要有取舍”的道理。传统京剧在封建社会背景下展开，其中难免包含一些与现代社会价值观不符的内容。因此，在京剧的发展过程中，我们应在保留其传统特色的同时，对内容进行适当的筛选与修改。这不仅有助于提升京剧的观赏性，更能使其更好地符合现代社会的审美标准和价值观念。</w:t>
      </w:r>
    </w:p>
    <w:p>
      <w:pPr>
        <w:snapToGrid w:val="0"/>
        <w:spacing w:line="400" w:lineRule="exact"/>
        <w:rPr>
          <w:rFonts w:hint="eastAsia"/>
        </w:rPr>
      </w:pPr>
      <w:r>
        <w:rPr>
          <w:rFonts w:hint="eastAsia"/>
          <w:lang w:eastAsia="zh-CN"/>
        </w:rPr>
        <w:t xml:space="preserve">    </w:t>
      </w:r>
      <w:r>
        <w:rPr>
          <w:rFonts w:hint="eastAsia"/>
        </w:rPr>
        <w:t>此外，京剧的传播方式也需与时俱进。在数字化时代，我们可以利用新媒体平台、虚拟现实技术等手段，将京剧以更加新奇、生动的方式呈现给广大观众。这种创新的传播方式不仅能够提升京剧的知名度与影响力，还能吸引更多年轻人关注并喜爱这一传统艺术。</w:t>
      </w:r>
    </w:p>
    <w:p>
      <w:pPr>
        <w:snapToGrid w:val="0"/>
        <w:spacing w:line="400" w:lineRule="exact"/>
        <w:rPr>
          <w:rFonts w:hint="eastAsia"/>
          <w:sz w:val="15"/>
          <w:szCs w:val="15"/>
          <w:lang w:val="en-US" w:eastAsia="zh-CN"/>
        </w:rPr>
      </w:pPr>
      <w:r>
        <w:rPr>
          <w:rFonts w:hint="eastAsia"/>
          <w:lang w:eastAsia="zh-CN"/>
        </w:rPr>
        <w:t xml:space="preserve">    </w:t>
      </w:r>
      <w:r>
        <w:rPr>
          <w:rFonts w:hint="eastAsia"/>
        </w:rPr>
        <w:t>综上所述，作为法学生，我认为京剧的改良与发展应遵循法律修订中的平衡与审慎原则。在保留其传统特色的基础上，进行适度的现代化改造；在内容筛选与修改上，注重逻辑性与现代价值观的契合；在传播方式上，积极探索创新途径。只要我们能够合理规划、科学实施这些改良与发展措施，京剧必定能够重现其昔日的辉煌。在新时代背景下，京剧不仅要在我国发扬光大，实现优秀文化的自我保存与延续；更要走向国际舞台，作为中华优秀传统文化的杰出代表，讲好中国故事，传递东方美学与人文关怀的独特魅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altName w:val="华文楷体"/>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00000000" w:usb1="00000000" w:usb2="00000016" w:usb3="00000000" w:csb0="00040000" w:csb1="00000000"/>
  </w:font>
  <w:font w:name="华文楷体">
    <w:panose1 w:val="02010600040101010101"/>
    <w:charset w:val="86"/>
    <w:family w:val="auto"/>
    <w:pitch w:val="default"/>
    <w:sig w:usb0="00000000" w:usb1="00000000" w:usb2="00000016" w:usb3="00000000" w:csb0="0004001F" w:csb1="00000000"/>
  </w:font>
  <w:font w:name="汉仪中黑KW">
    <w:panose1 w:val="00020600040101010101"/>
    <w:charset w:val="86"/>
    <w:family w:val="auto"/>
    <w:pitch w:val="default"/>
    <w:sig w:usb0="00000000" w:usb1="00000000" w:usb2="00000016" w:usb3="00000000" w:csb0="00040000" w:csb1="00000000"/>
  </w:font>
  <w:font w:name="Kingsoft Sign">
    <w:panose1 w:val="05050102010706020507"/>
    <w:charset w:val="00"/>
    <w:family w:val="auto"/>
    <w:pitch w:val="default"/>
    <w:sig w:usb0="00000000" w:usb1="00000000" w:usb2="00000000" w:usb3="00000000" w:csb0="00000001" w:csb1="00000000"/>
  </w:font>
  <w:font w:name="Helvetica Neue">
    <w:panose1 w:val="02000503000000020004"/>
    <w:charset w:val="00"/>
    <w:family w:val="auto"/>
    <w:pitch w:val="default"/>
    <w:sig w:usb0="00000000" w:usb1="00000000"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2024-12-07T14:36:45Z</dcterms:created>
  <dc:creator>iPad</dc:creator>
  <cp:lastModifiedBy>iPad</cp:lastModifiedBy>
  <dcterms:modified xsi:type="dcterms:W3CDTF">2024-12-07T14:40:52Z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2052-12.19.0</vt:lpwstr>
  </property>
  <property fmtid="{D5CDD505-2E9C-101B-9397-08002B2CF9AE}" pid="3" name="ICV">
    <vt:lpwstr>2E91354C86FBEECBFDEC53670B7C4AEA_31</vt:lpwstr>
  </property>
</Properties>
</file>